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964"/>
        <w:jc w:val="left"/>
        <w:rPr>
          <w:rFonts w:ascii="黑体" w:hAnsi="Times New Roman" w:eastAsia="黑体" w:cs="Times New Roman"/>
          <w:b/>
          <w:sz w:val="48"/>
          <w:szCs w:val="48"/>
        </w:rPr>
      </w:pPr>
    </w:p>
    <w:p>
      <w:pPr>
        <w:ind w:firstLine="964"/>
        <w:jc w:val="center"/>
        <w:rPr>
          <w:rFonts w:ascii="黑体" w:hAnsi="Times New Roman" w:eastAsia="黑体" w:cs="Times New Roman"/>
          <w:b/>
          <w:sz w:val="48"/>
          <w:szCs w:val="48"/>
        </w:rPr>
      </w:pPr>
    </w:p>
    <w:p>
      <w:pPr>
        <w:ind w:firstLine="964"/>
        <w:jc w:val="center"/>
        <w:rPr>
          <w:rFonts w:ascii="黑体" w:hAnsi="Times New Roman" w:eastAsia="黑体" w:cs="Times New Roman"/>
          <w:b/>
          <w:sz w:val="48"/>
          <w:szCs w:val="48"/>
        </w:rPr>
      </w:pPr>
    </w:p>
    <w:p>
      <w:pPr>
        <w:ind w:firstLine="964"/>
        <w:jc w:val="center"/>
        <w:rPr>
          <w:rFonts w:ascii="黑体" w:hAnsi="Times New Roman" w:eastAsia="黑体" w:cs="Times New Roman"/>
          <w:b/>
          <w:sz w:val="48"/>
          <w:szCs w:val="48"/>
        </w:rPr>
      </w:pPr>
    </w:p>
    <w:p>
      <w:pPr>
        <w:ind w:firstLine="964"/>
        <w:jc w:val="center"/>
        <w:rPr>
          <w:rFonts w:ascii="黑体" w:hAnsi="Times New Roman" w:eastAsia="黑体" w:cs="Times New Roman"/>
          <w:b/>
          <w:sz w:val="48"/>
          <w:szCs w:val="48"/>
        </w:rPr>
      </w:pPr>
    </w:p>
    <w:p>
      <w:pPr>
        <w:ind w:firstLine="964"/>
        <w:jc w:val="center"/>
        <w:rPr>
          <w:rFonts w:ascii="黑体" w:hAnsi="Times New Roman" w:eastAsia="黑体" w:cs="Times New Roman"/>
          <w:b/>
          <w:sz w:val="48"/>
          <w:szCs w:val="48"/>
        </w:rPr>
      </w:pPr>
    </w:p>
    <w:p>
      <w:pPr>
        <w:ind w:firstLine="964"/>
        <w:jc w:val="center"/>
        <w:rPr>
          <w:rFonts w:ascii="黑体" w:hAnsi="Times New Roman" w:eastAsia="黑体" w:cs="Times New Roman"/>
          <w:b/>
          <w:sz w:val="48"/>
          <w:szCs w:val="48"/>
        </w:rPr>
      </w:pPr>
      <w:r>
        <w:rPr>
          <w:rFonts w:hint="eastAsia" w:ascii="黑体" w:hAnsi="Times New Roman" w:eastAsia="黑体" w:cs="Times New Roman"/>
          <w:b/>
          <w:sz w:val="48"/>
          <w:szCs w:val="48"/>
        </w:rPr>
        <w:t>恒德易电子采购交易平台</w:t>
      </w:r>
    </w:p>
    <w:p>
      <w:pPr>
        <w:ind w:firstLine="964"/>
        <w:jc w:val="center"/>
        <w:rPr>
          <w:rFonts w:ascii="黑体" w:hAnsi="Times New Roman" w:eastAsia="黑体" w:cs="Times New Roman"/>
          <w:b/>
          <w:sz w:val="48"/>
          <w:szCs w:val="48"/>
        </w:rPr>
      </w:pPr>
    </w:p>
    <w:p>
      <w:pPr>
        <w:ind w:firstLine="883"/>
        <w:jc w:val="center"/>
        <w:rPr>
          <w:rFonts w:ascii="黑体" w:hAnsi="Times New Roman" w:eastAsia="黑体" w:cs="Times New Roman"/>
          <w:b/>
          <w:sz w:val="44"/>
          <w:szCs w:val="44"/>
        </w:rPr>
      </w:pPr>
      <w:r>
        <w:rPr>
          <w:rFonts w:hint="eastAsia" w:ascii="黑体" w:hAnsi="Times New Roman" w:eastAsia="黑体" w:cs="Times New Roman"/>
          <w:b/>
          <w:sz w:val="44"/>
          <w:szCs w:val="44"/>
        </w:rPr>
        <w:t>网上竞卖操作指引</w:t>
      </w:r>
    </w:p>
    <w:p>
      <w:pPr>
        <w:ind w:firstLine="883"/>
        <w:jc w:val="center"/>
        <w:rPr>
          <w:rFonts w:ascii="黑体" w:hAnsi="Times New Roman" w:eastAsia="黑体" w:cs="Times New Roman"/>
          <w:b/>
          <w:sz w:val="44"/>
          <w:szCs w:val="44"/>
        </w:rPr>
      </w:pPr>
    </w:p>
    <w:p>
      <w:pPr>
        <w:ind w:firstLine="643"/>
        <w:contextualSpacing/>
        <w:jc w:val="center"/>
        <w:rPr>
          <w:rFonts w:ascii="仿宋" w:hAnsi="仿宋" w:eastAsia="仿宋"/>
          <w:b/>
          <w:sz w:val="32"/>
          <w:szCs w:val="32"/>
        </w:rPr>
      </w:pPr>
      <w:r>
        <w:rPr>
          <w:rFonts w:hint="eastAsia" w:ascii="仿宋" w:hAnsi="仿宋" w:eastAsia="仿宋"/>
          <w:b/>
          <w:sz w:val="32"/>
          <w:szCs w:val="32"/>
        </w:rPr>
        <w:t>（竞卖人/代理机构）</w:t>
      </w:r>
    </w:p>
    <w:p>
      <w:pPr>
        <w:pStyle w:val="13"/>
        <w:tabs>
          <w:tab w:val="right" w:leader="dot" w:pos="10204"/>
        </w:tabs>
        <w:ind w:firstLine="560"/>
        <w:rPr>
          <w:rFonts w:ascii="宋体" w:hAnsi="宋体" w:cs="宋体"/>
          <w:sz w:val="28"/>
          <w:szCs w:val="28"/>
        </w:rPr>
      </w:pPr>
    </w:p>
    <w:p>
      <w:pPr>
        <w:pStyle w:val="13"/>
        <w:tabs>
          <w:tab w:val="right" w:leader="dot" w:pos="10204"/>
        </w:tabs>
        <w:ind w:firstLine="560"/>
        <w:rPr>
          <w:rFonts w:ascii="宋体" w:hAnsi="宋体" w:cs="宋体"/>
          <w:sz w:val="28"/>
          <w:szCs w:val="28"/>
        </w:rPr>
      </w:pPr>
    </w:p>
    <w:p>
      <w:pPr>
        <w:pStyle w:val="13"/>
        <w:tabs>
          <w:tab w:val="right" w:leader="dot" w:pos="10204"/>
        </w:tabs>
        <w:ind w:firstLine="560"/>
        <w:rPr>
          <w:rFonts w:ascii="宋体" w:hAnsi="宋体" w:cs="宋体"/>
          <w:sz w:val="28"/>
          <w:szCs w:val="28"/>
        </w:rPr>
      </w:pPr>
    </w:p>
    <w:p>
      <w:pPr>
        <w:ind w:firstLine="480"/>
      </w:pPr>
    </w:p>
    <w:p>
      <w:pPr>
        <w:pStyle w:val="13"/>
        <w:pageBreakBefore/>
        <w:tabs>
          <w:tab w:val="right" w:leader="dot" w:pos="10204"/>
        </w:tabs>
        <w:ind w:firstLine="0" w:firstLineChars="0"/>
        <w:jc w:val="center"/>
        <w:outlineLvl w:val="0"/>
        <w:rPr>
          <w:rFonts w:ascii="宋体" w:hAnsi="宋体" w:cs="宋体"/>
          <w:sz w:val="28"/>
          <w:szCs w:val="28"/>
        </w:rPr>
      </w:pPr>
      <w:r>
        <w:rPr>
          <w:rFonts w:hint="eastAsia" w:ascii="宋体" w:hAnsi="宋体" w:cs="宋体"/>
          <w:sz w:val="28"/>
          <w:szCs w:val="28"/>
        </w:rPr>
        <w:t>目录</w:t>
      </w:r>
    </w:p>
    <w:p>
      <w:pPr>
        <w:pStyle w:val="13"/>
        <w:tabs>
          <w:tab w:val="right" w:leader="dot" w:pos="10082"/>
        </w:tabs>
        <w:ind w:firstLine="478" w:firstLineChars="171"/>
        <w:rPr>
          <w:rFonts w:ascii="Calibri" w:hAnsi="Calibri" w:cs="Times New Roman"/>
          <w:sz w:val="21"/>
        </w:rPr>
      </w:pPr>
      <w:r>
        <w:rPr>
          <w:rFonts w:ascii="宋体" w:hAnsi="宋体" w:cs="宋体"/>
          <w:sz w:val="28"/>
          <w:szCs w:val="28"/>
        </w:rPr>
        <w:fldChar w:fldCharType="begin"/>
      </w:r>
      <w:r>
        <w:rPr>
          <w:rFonts w:ascii="宋体" w:hAnsi="宋体" w:cs="宋体"/>
          <w:sz w:val="28"/>
          <w:szCs w:val="28"/>
        </w:rPr>
        <w:instrText xml:space="preserve"> TOC \o "1-3" \h \z \u </w:instrText>
      </w:r>
      <w:r>
        <w:rPr>
          <w:rFonts w:ascii="宋体" w:hAnsi="宋体" w:cs="宋体"/>
          <w:sz w:val="28"/>
          <w:szCs w:val="28"/>
        </w:rPr>
        <w:fldChar w:fldCharType="separate"/>
      </w:r>
      <w:r>
        <w:fldChar w:fldCharType="begin"/>
      </w:r>
      <w:r>
        <w:instrText xml:space="preserve"> HYPERLINK \l "_Toc17719410" </w:instrText>
      </w:r>
      <w:r>
        <w:fldChar w:fldCharType="separate"/>
      </w:r>
      <w:r>
        <w:rPr>
          <w:rStyle w:val="21"/>
          <w:rFonts w:ascii="宋体" w:hAnsi="宋体" w:cs="宋体"/>
        </w:rPr>
        <w:t>1、用户登录</w:t>
      </w:r>
      <w:r>
        <w:tab/>
      </w:r>
      <w:r>
        <w:fldChar w:fldCharType="begin"/>
      </w:r>
      <w:r>
        <w:instrText xml:space="preserve"> PAGEREF _Toc17719410 \h </w:instrText>
      </w:r>
      <w:r>
        <w:fldChar w:fldCharType="separate"/>
      </w:r>
      <w:r>
        <w:t>1</w:t>
      </w:r>
      <w:r>
        <w:fldChar w:fldCharType="end"/>
      </w:r>
      <w:r>
        <w:fldChar w:fldCharType="end"/>
      </w:r>
    </w:p>
    <w:p>
      <w:pPr>
        <w:pStyle w:val="13"/>
        <w:tabs>
          <w:tab w:val="right" w:leader="dot" w:pos="10082"/>
        </w:tabs>
        <w:ind w:firstLine="480"/>
        <w:rPr>
          <w:rFonts w:ascii="Calibri" w:hAnsi="Calibri" w:cs="Times New Roman"/>
          <w:sz w:val="21"/>
        </w:rPr>
      </w:pPr>
      <w:r>
        <w:fldChar w:fldCharType="begin"/>
      </w:r>
      <w:r>
        <w:instrText xml:space="preserve"> HYPERLINK \l "_Toc17719411" </w:instrText>
      </w:r>
      <w:r>
        <w:fldChar w:fldCharType="separate"/>
      </w:r>
      <w:r>
        <w:rPr>
          <w:rStyle w:val="21"/>
        </w:rPr>
        <w:t>2、 竞卖业务（竞高价）流程图</w:t>
      </w:r>
      <w:r>
        <w:tab/>
      </w:r>
      <w:r>
        <w:fldChar w:fldCharType="begin"/>
      </w:r>
      <w:r>
        <w:instrText xml:space="preserve"> PAGEREF _Toc17719411 \h </w:instrText>
      </w:r>
      <w:r>
        <w:fldChar w:fldCharType="separate"/>
      </w:r>
      <w:r>
        <w:t>2</w:t>
      </w:r>
      <w:r>
        <w:fldChar w:fldCharType="end"/>
      </w:r>
      <w:r>
        <w:fldChar w:fldCharType="end"/>
      </w:r>
    </w:p>
    <w:p>
      <w:pPr>
        <w:pStyle w:val="13"/>
        <w:tabs>
          <w:tab w:val="right" w:leader="dot" w:pos="10082"/>
        </w:tabs>
        <w:ind w:firstLine="480"/>
        <w:rPr>
          <w:rFonts w:ascii="Calibri" w:hAnsi="Calibri" w:cs="Times New Roman"/>
          <w:sz w:val="21"/>
        </w:rPr>
      </w:pPr>
      <w:r>
        <w:fldChar w:fldCharType="begin"/>
      </w:r>
      <w:r>
        <w:instrText xml:space="preserve"> HYPERLINK \l "_Toc17719412" </w:instrText>
      </w:r>
      <w:r>
        <w:fldChar w:fldCharType="separate"/>
      </w:r>
      <w:r>
        <w:rPr>
          <w:rStyle w:val="21"/>
        </w:rPr>
        <w:t>3、 网上竞卖（竞高价）</w:t>
      </w:r>
      <w:r>
        <w:tab/>
      </w:r>
      <w:r>
        <w:fldChar w:fldCharType="begin"/>
      </w:r>
      <w:r>
        <w:instrText xml:space="preserve"> PAGEREF _Toc17719412 \h </w:instrText>
      </w:r>
      <w:r>
        <w:fldChar w:fldCharType="separate"/>
      </w:r>
      <w:r>
        <w:t>3</w:t>
      </w:r>
      <w:r>
        <w:fldChar w:fldCharType="end"/>
      </w:r>
      <w:r>
        <w:fldChar w:fldCharType="end"/>
      </w:r>
    </w:p>
    <w:p>
      <w:pPr>
        <w:pStyle w:val="14"/>
        <w:tabs>
          <w:tab w:val="right" w:leader="dot" w:pos="10082"/>
        </w:tabs>
        <w:ind w:left="480" w:firstLine="480"/>
        <w:rPr>
          <w:rFonts w:ascii="Calibri" w:hAnsi="Calibri" w:cs="Times New Roman"/>
          <w:sz w:val="21"/>
        </w:rPr>
      </w:pPr>
      <w:r>
        <w:fldChar w:fldCharType="begin"/>
      </w:r>
      <w:r>
        <w:instrText xml:space="preserve"> HYPERLINK \l "_Toc17719413" </w:instrText>
      </w:r>
      <w:r>
        <w:fldChar w:fldCharType="separate"/>
      </w:r>
      <w:r>
        <w:rPr>
          <w:rStyle w:val="21"/>
          <w:rFonts w:ascii="宋体" w:hAnsi="宋体" w:cs="宋体"/>
        </w:rPr>
        <w:t>3.1发布竞卖公告</w:t>
      </w:r>
      <w:r>
        <w:tab/>
      </w:r>
      <w:r>
        <w:fldChar w:fldCharType="begin"/>
      </w:r>
      <w:r>
        <w:instrText xml:space="preserve"> PAGEREF _Toc17719413 \h </w:instrText>
      </w:r>
      <w:r>
        <w:fldChar w:fldCharType="separate"/>
      </w:r>
      <w:r>
        <w:t>3</w:t>
      </w:r>
      <w:r>
        <w:fldChar w:fldCharType="end"/>
      </w:r>
      <w:r>
        <w:fldChar w:fldCharType="end"/>
      </w:r>
    </w:p>
    <w:p>
      <w:pPr>
        <w:pStyle w:val="14"/>
        <w:tabs>
          <w:tab w:val="right" w:leader="dot" w:pos="10082"/>
        </w:tabs>
        <w:ind w:left="480" w:firstLine="480"/>
        <w:rPr>
          <w:rFonts w:ascii="Calibri" w:hAnsi="Calibri" w:cs="Times New Roman"/>
          <w:sz w:val="21"/>
        </w:rPr>
      </w:pPr>
      <w:r>
        <w:fldChar w:fldCharType="begin"/>
      </w:r>
      <w:r>
        <w:instrText xml:space="preserve"> HYPERLINK \l "_Toc17719414" </w:instrText>
      </w:r>
      <w:r>
        <w:fldChar w:fldCharType="separate"/>
      </w:r>
      <w:r>
        <w:rPr>
          <w:rStyle w:val="21"/>
          <w:rFonts w:ascii="宋体" w:hAnsi="宋体" w:cs="宋体"/>
        </w:rPr>
        <w:t>3.2发布竞卖补遗</w:t>
      </w:r>
      <w:r>
        <w:tab/>
      </w:r>
      <w:r>
        <w:fldChar w:fldCharType="begin"/>
      </w:r>
      <w:r>
        <w:instrText xml:space="preserve"> PAGEREF _Toc17719414 \h </w:instrText>
      </w:r>
      <w:r>
        <w:fldChar w:fldCharType="separate"/>
      </w:r>
      <w:r>
        <w:t>8</w:t>
      </w:r>
      <w:r>
        <w:fldChar w:fldCharType="end"/>
      </w:r>
      <w:r>
        <w:fldChar w:fldCharType="end"/>
      </w:r>
    </w:p>
    <w:p>
      <w:pPr>
        <w:pStyle w:val="14"/>
        <w:tabs>
          <w:tab w:val="right" w:leader="dot" w:pos="10082"/>
        </w:tabs>
        <w:ind w:left="480" w:firstLine="480"/>
        <w:rPr>
          <w:rFonts w:ascii="Calibri" w:hAnsi="Calibri" w:cs="Times New Roman"/>
          <w:sz w:val="21"/>
        </w:rPr>
      </w:pPr>
      <w:r>
        <w:fldChar w:fldCharType="begin"/>
      </w:r>
      <w:r>
        <w:instrText xml:space="preserve"> HYPERLINK \l "_Toc17719415" </w:instrText>
      </w:r>
      <w:r>
        <w:fldChar w:fldCharType="separate"/>
      </w:r>
      <w:r>
        <w:rPr>
          <w:rStyle w:val="21"/>
          <w:rFonts w:ascii="宋体" w:hAnsi="宋体" w:cs="宋体"/>
        </w:rPr>
        <w:t>3.3竞卖质疑</w:t>
      </w:r>
      <w:r>
        <w:tab/>
      </w:r>
      <w:r>
        <w:fldChar w:fldCharType="begin"/>
      </w:r>
      <w:r>
        <w:instrText xml:space="preserve"> PAGEREF _Toc17719415 \h </w:instrText>
      </w:r>
      <w:r>
        <w:fldChar w:fldCharType="separate"/>
      </w:r>
      <w:r>
        <w:t>9</w:t>
      </w:r>
      <w:r>
        <w:fldChar w:fldCharType="end"/>
      </w:r>
      <w:r>
        <w:fldChar w:fldCharType="end"/>
      </w:r>
    </w:p>
    <w:p>
      <w:pPr>
        <w:pStyle w:val="14"/>
        <w:tabs>
          <w:tab w:val="right" w:leader="dot" w:pos="10082"/>
        </w:tabs>
        <w:ind w:left="480" w:firstLine="480"/>
        <w:rPr>
          <w:rFonts w:ascii="Calibri" w:hAnsi="Calibri" w:cs="Times New Roman"/>
          <w:sz w:val="21"/>
        </w:rPr>
      </w:pPr>
      <w:r>
        <w:fldChar w:fldCharType="begin"/>
      </w:r>
      <w:r>
        <w:instrText xml:space="preserve"> HYPERLINK \l "_Toc17719416" </w:instrText>
      </w:r>
      <w:r>
        <w:fldChar w:fldCharType="separate"/>
      </w:r>
      <w:r>
        <w:rPr>
          <w:rStyle w:val="21"/>
          <w:rFonts w:ascii="宋体" w:hAnsi="宋体" w:cs="宋体"/>
        </w:rPr>
        <w:t>3.4保证金缴纳情况</w:t>
      </w:r>
      <w:r>
        <w:tab/>
      </w:r>
      <w:r>
        <w:fldChar w:fldCharType="begin"/>
      </w:r>
      <w:r>
        <w:instrText xml:space="preserve"> PAGEREF _Toc17719416 \h </w:instrText>
      </w:r>
      <w:r>
        <w:fldChar w:fldCharType="separate"/>
      </w:r>
      <w:r>
        <w:t>10</w:t>
      </w:r>
      <w:r>
        <w:fldChar w:fldCharType="end"/>
      </w:r>
      <w:r>
        <w:fldChar w:fldCharType="end"/>
      </w:r>
    </w:p>
    <w:p>
      <w:pPr>
        <w:pStyle w:val="14"/>
        <w:tabs>
          <w:tab w:val="right" w:leader="dot" w:pos="10082"/>
        </w:tabs>
        <w:ind w:left="480" w:firstLine="480"/>
        <w:rPr>
          <w:rFonts w:ascii="Calibri" w:hAnsi="Calibri" w:cs="Times New Roman"/>
          <w:sz w:val="21"/>
        </w:rPr>
      </w:pPr>
      <w:r>
        <w:fldChar w:fldCharType="begin"/>
      </w:r>
      <w:r>
        <w:instrText xml:space="preserve"> HYPERLINK \l "_Toc17719417" </w:instrText>
      </w:r>
      <w:r>
        <w:fldChar w:fldCharType="separate"/>
      </w:r>
      <w:r>
        <w:rPr>
          <w:rStyle w:val="21"/>
          <w:rFonts w:ascii="宋体" w:hAnsi="宋体" w:cs="宋体"/>
        </w:rPr>
        <w:t>3.5平台服务费缴纳情况</w:t>
      </w:r>
      <w:r>
        <w:tab/>
      </w:r>
      <w:r>
        <w:fldChar w:fldCharType="begin"/>
      </w:r>
      <w:r>
        <w:instrText xml:space="preserve"> PAGEREF _Toc17719417 \h </w:instrText>
      </w:r>
      <w:r>
        <w:fldChar w:fldCharType="separate"/>
      </w:r>
      <w:r>
        <w:t>11</w:t>
      </w:r>
      <w:r>
        <w:fldChar w:fldCharType="end"/>
      </w:r>
      <w:r>
        <w:fldChar w:fldCharType="end"/>
      </w:r>
    </w:p>
    <w:p>
      <w:pPr>
        <w:pStyle w:val="14"/>
        <w:tabs>
          <w:tab w:val="right" w:leader="dot" w:pos="10082"/>
        </w:tabs>
        <w:ind w:left="480" w:firstLine="480"/>
        <w:rPr>
          <w:rFonts w:ascii="Calibri" w:hAnsi="Calibri" w:cs="Times New Roman"/>
          <w:sz w:val="21"/>
        </w:rPr>
      </w:pPr>
      <w:r>
        <w:fldChar w:fldCharType="begin"/>
      </w:r>
      <w:r>
        <w:instrText xml:space="preserve"> HYPERLINK \l "_Toc17719418" </w:instrText>
      </w:r>
      <w:r>
        <w:fldChar w:fldCharType="separate"/>
      </w:r>
      <w:r>
        <w:rPr>
          <w:rStyle w:val="21"/>
          <w:rFonts w:ascii="宋体" w:hAnsi="宋体" w:cs="宋体"/>
        </w:rPr>
        <w:t>3.6资质文件审核</w:t>
      </w:r>
      <w:r>
        <w:tab/>
      </w:r>
      <w:r>
        <w:fldChar w:fldCharType="begin"/>
      </w:r>
      <w:r>
        <w:instrText xml:space="preserve"> PAGEREF _Toc17719418 \h </w:instrText>
      </w:r>
      <w:r>
        <w:fldChar w:fldCharType="separate"/>
      </w:r>
      <w:r>
        <w:t>12</w:t>
      </w:r>
      <w:r>
        <w:fldChar w:fldCharType="end"/>
      </w:r>
      <w:r>
        <w:fldChar w:fldCharType="end"/>
      </w:r>
    </w:p>
    <w:p>
      <w:pPr>
        <w:pStyle w:val="14"/>
        <w:tabs>
          <w:tab w:val="right" w:leader="dot" w:pos="10082"/>
        </w:tabs>
        <w:ind w:left="480" w:firstLine="480"/>
        <w:rPr>
          <w:rFonts w:ascii="Calibri" w:hAnsi="Calibri" w:cs="Times New Roman"/>
          <w:sz w:val="21"/>
        </w:rPr>
      </w:pPr>
      <w:r>
        <w:fldChar w:fldCharType="begin"/>
      </w:r>
      <w:r>
        <w:instrText xml:space="preserve"> HYPERLINK \l "_Toc17719419" </w:instrText>
      </w:r>
      <w:r>
        <w:fldChar w:fldCharType="separate"/>
      </w:r>
      <w:r>
        <w:rPr>
          <w:rStyle w:val="21"/>
          <w:rFonts w:ascii="宋体" w:hAnsi="宋体" w:cs="宋体"/>
        </w:rPr>
        <w:t>3.7查看报名情况</w:t>
      </w:r>
      <w:r>
        <w:tab/>
      </w:r>
      <w:r>
        <w:fldChar w:fldCharType="begin"/>
      </w:r>
      <w:r>
        <w:instrText xml:space="preserve"> PAGEREF _Toc17719419 \h </w:instrText>
      </w:r>
      <w:r>
        <w:fldChar w:fldCharType="separate"/>
      </w:r>
      <w:r>
        <w:t>13</w:t>
      </w:r>
      <w:r>
        <w:fldChar w:fldCharType="end"/>
      </w:r>
      <w:r>
        <w:fldChar w:fldCharType="end"/>
      </w:r>
    </w:p>
    <w:p>
      <w:pPr>
        <w:pStyle w:val="14"/>
        <w:tabs>
          <w:tab w:val="right" w:leader="dot" w:pos="10082"/>
        </w:tabs>
        <w:ind w:left="480" w:firstLine="480"/>
        <w:rPr>
          <w:rFonts w:ascii="Calibri" w:hAnsi="Calibri" w:cs="Times New Roman"/>
          <w:sz w:val="21"/>
        </w:rPr>
      </w:pPr>
      <w:r>
        <w:fldChar w:fldCharType="begin"/>
      </w:r>
      <w:r>
        <w:instrText xml:space="preserve"> HYPERLINK \l "_Toc17719420" </w:instrText>
      </w:r>
      <w:r>
        <w:fldChar w:fldCharType="separate"/>
      </w:r>
      <w:r>
        <w:rPr>
          <w:rStyle w:val="21"/>
          <w:rFonts w:ascii="宋体" w:hAnsi="宋体" w:cs="宋体"/>
        </w:rPr>
        <w:t>3.8竞卖情况</w:t>
      </w:r>
      <w:r>
        <w:tab/>
      </w:r>
      <w:r>
        <w:fldChar w:fldCharType="begin"/>
      </w:r>
      <w:r>
        <w:instrText xml:space="preserve"> PAGEREF _Toc17719420 \h </w:instrText>
      </w:r>
      <w:r>
        <w:fldChar w:fldCharType="separate"/>
      </w:r>
      <w:r>
        <w:t>14</w:t>
      </w:r>
      <w:r>
        <w:fldChar w:fldCharType="end"/>
      </w:r>
      <w:r>
        <w:fldChar w:fldCharType="end"/>
      </w:r>
    </w:p>
    <w:p>
      <w:pPr>
        <w:pStyle w:val="8"/>
        <w:tabs>
          <w:tab w:val="right" w:leader="dot" w:pos="10082"/>
        </w:tabs>
        <w:ind w:left="960" w:firstLine="480"/>
        <w:rPr>
          <w:rFonts w:ascii="Calibri" w:hAnsi="Calibri" w:cs="Times New Roman"/>
          <w:sz w:val="21"/>
        </w:rPr>
      </w:pPr>
      <w:r>
        <w:fldChar w:fldCharType="begin"/>
      </w:r>
      <w:r>
        <w:instrText xml:space="preserve"> HYPERLINK \l "_Toc17719421" </w:instrText>
      </w:r>
      <w:r>
        <w:fldChar w:fldCharType="separate"/>
      </w:r>
      <w:r>
        <w:rPr>
          <w:rStyle w:val="21"/>
          <w:rFonts w:ascii="宋体" w:hAnsi="宋体" w:cs="宋体"/>
        </w:rPr>
        <w:t>3.8.1自由竞价-按包件</w:t>
      </w:r>
      <w:r>
        <w:tab/>
      </w:r>
      <w:r>
        <w:fldChar w:fldCharType="begin"/>
      </w:r>
      <w:r>
        <w:instrText xml:space="preserve"> PAGEREF _Toc17719421 \h </w:instrText>
      </w:r>
      <w:r>
        <w:fldChar w:fldCharType="separate"/>
      </w:r>
      <w:r>
        <w:t>15</w:t>
      </w:r>
      <w:r>
        <w:fldChar w:fldCharType="end"/>
      </w:r>
      <w:r>
        <w:fldChar w:fldCharType="end"/>
      </w:r>
    </w:p>
    <w:p>
      <w:pPr>
        <w:pStyle w:val="8"/>
        <w:tabs>
          <w:tab w:val="right" w:leader="dot" w:pos="10082"/>
        </w:tabs>
        <w:ind w:left="960" w:firstLine="480"/>
        <w:rPr>
          <w:rFonts w:ascii="Calibri" w:hAnsi="Calibri" w:cs="Times New Roman"/>
          <w:sz w:val="21"/>
        </w:rPr>
      </w:pPr>
      <w:r>
        <w:fldChar w:fldCharType="begin"/>
      </w:r>
      <w:r>
        <w:instrText xml:space="preserve"> HYPERLINK \l "_Toc17719422" </w:instrText>
      </w:r>
      <w:r>
        <w:fldChar w:fldCharType="separate"/>
      </w:r>
      <w:r>
        <w:rPr>
          <w:rStyle w:val="21"/>
          <w:rFonts w:ascii="宋体" w:hAnsi="宋体" w:cs="宋体"/>
        </w:rPr>
        <w:t>3.8.2自由竞价-按明细</w:t>
      </w:r>
      <w:r>
        <w:tab/>
      </w:r>
      <w:r>
        <w:fldChar w:fldCharType="begin"/>
      </w:r>
      <w:r>
        <w:instrText xml:space="preserve"> PAGEREF _Toc17719422 \h </w:instrText>
      </w:r>
      <w:r>
        <w:fldChar w:fldCharType="separate"/>
      </w:r>
      <w:r>
        <w:t>17</w:t>
      </w:r>
      <w:r>
        <w:fldChar w:fldCharType="end"/>
      </w:r>
      <w:r>
        <w:fldChar w:fldCharType="end"/>
      </w:r>
    </w:p>
    <w:p>
      <w:pPr>
        <w:pStyle w:val="8"/>
        <w:tabs>
          <w:tab w:val="right" w:leader="dot" w:pos="10082"/>
        </w:tabs>
        <w:ind w:left="960" w:firstLine="480"/>
        <w:rPr>
          <w:rFonts w:ascii="Calibri" w:hAnsi="Calibri" w:cs="Times New Roman"/>
          <w:sz w:val="21"/>
        </w:rPr>
      </w:pPr>
      <w:r>
        <w:fldChar w:fldCharType="begin"/>
      </w:r>
      <w:r>
        <w:instrText xml:space="preserve"> HYPERLINK \l "_Toc17719423" </w:instrText>
      </w:r>
      <w:r>
        <w:fldChar w:fldCharType="separate"/>
      </w:r>
      <w:r>
        <w:rPr>
          <w:rStyle w:val="21"/>
          <w:rFonts w:ascii="宋体" w:hAnsi="宋体" w:cs="宋体"/>
        </w:rPr>
        <w:t>3.8.3单轮竞价-按包件</w:t>
      </w:r>
      <w:r>
        <w:tab/>
      </w:r>
      <w:r>
        <w:fldChar w:fldCharType="begin"/>
      </w:r>
      <w:r>
        <w:instrText xml:space="preserve"> PAGEREF _Toc17719423 \h </w:instrText>
      </w:r>
      <w:r>
        <w:fldChar w:fldCharType="separate"/>
      </w:r>
      <w:r>
        <w:t>19</w:t>
      </w:r>
      <w:r>
        <w:fldChar w:fldCharType="end"/>
      </w:r>
      <w:r>
        <w:fldChar w:fldCharType="end"/>
      </w:r>
    </w:p>
    <w:p>
      <w:pPr>
        <w:pStyle w:val="8"/>
        <w:tabs>
          <w:tab w:val="right" w:leader="dot" w:pos="10082"/>
        </w:tabs>
        <w:ind w:left="960" w:firstLine="480"/>
        <w:rPr>
          <w:rFonts w:ascii="Calibri" w:hAnsi="Calibri" w:cs="Times New Roman"/>
          <w:sz w:val="21"/>
        </w:rPr>
      </w:pPr>
      <w:r>
        <w:fldChar w:fldCharType="begin"/>
      </w:r>
      <w:r>
        <w:instrText xml:space="preserve"> HYPERLINK \l "_Toc17719424" </w:instrText>
      </w:r>
      <w:r>
        <w:fldChar w:fldCharType="separate"/>
      </w:r>
      <w:r>
        <w:rPr>
          <w:rStyle w:val="21"/>
          <w:rFonts w:ascii="宋体" w:hAnsi="宋体" w:cs="宋体"/>
        </w:rPr>
        <w:t>3.8.4单轮竞价-按明细</w:t>
      </w:r>
      <w:r>
        <w:tab/>
      </w:r>
      <w:r>
        <w:fldChar w:fldCharType="begin"/>
      </w:r>
      <w:r>
        <w:instrText xml:space="preserve"> PAGEREF _Toc17719424 \h </w:instrText>
      </w:r>
      <w:r>
        <w:fldChar w:fldCharType="separate"/>
      </w:r>
      <w:r>
        <w:t>21</w:t>
      </w:r>
      <w:r>
        <w:fldChar w:fldCharType="end"/>
      </w:r>
      <w:r>
        <w:fldChar w:fldCharType="end"/>
      </w:r>
    </w:p>
    <w:p>
      <w:pPr>
        <w:pStyle w:val="14"/>
        <w:tabs>
          <w:tab w:val="right" w:leader="dot" w:pos="10082"/>
        </w:tabs>
        <w:ind w:left="480" w:firstLine="480"/>
        <w:rPr>
          <w:rFonts w:ascii="Calibri" w:hAnsi="Calibri" w:cs="Times New Roman"/>
          <w:sz w:val="21"/>
        </w:rPr>
      </w:pPr>
      <w:r>
        <w:fldChar w:fldCharType="begin"/>
      </w:r>
      <w:r>
        <w:instrText xml:space="preserve"> HYPERLINK \l "_Toc17719425" </w:instrText>
      </w:r>
      <w:r>
        <w:fldChar w:fldCharType="separate"/>
      </w:r>
      <w:r>
        <w:rPr>
          <w:rStyle w:val="21"/>
          <w:rFonts w:ascii="宋体" w:hAnsi="宋体" w:cs="宋体"/>
        </w:rPr>
        <w:t>3.9成交结果公告</w:t>
      </w:r>
      <w:r>
        <w:tab/>
      </w:r>
      <w:r>
        <w:fldChar w:fldCharType="begin"/>
      </w:r>
      <w:r>
        <w:instrText xml:space="preserve"> PAGEREF _Toc17719425 \h </w:instrText>
      </w:r>
      <w:r>
        <w:fldChar w:fldCharType="separate"/>
      </w:r>
      <w:r>
        <w:t>22</w:t>
      </w:r>
      <w:r>
        <w:fldChar w:fldCharType="end"/>
      </w:r>
      <w:r>
        <w:fldChar w:fldCharType="end"/>
      </w:r>
    </w:p>
    <w:p>
      <w:pPr>
        <w:pStyle w:val="14"/>
        <w:tabs>
          <w:tab w:val="right" w:leader="dot" w:pos="10082"/>
        </w:tabs>
        <w:ind w:left="480" w:firstLine="480"/>
        <w:rPr>
          <w:rFonts w:ascii="Calibri" w:hAnsi="Calibri" w:cs="Times New Roman"/>
          <w:sz w:val="21"/>
        </w:rPr>
      </w:pPr>
      <w:r>
        <w:fldChar w:fldCharType="begin"/>
      </w:r>
      <w:r>
        <w:instrText xml:space="preserve"> HYPERLINK \l "_Toc17719426" </w:instrText>
      </w:r>
      <w:r>
        <w:fldChar w:fldCharType="separate"/>
      </w:r>
      <w:r>
        <w:rPr>
          <w:rStyle w:val="21"/>
        </w:rPr>
        <w:t>3.10竞卖结果通知</w:t>
      </w:r>
      <w:r>
        <w:tab/>
      </w:r>
      <w:r>
        <w:fldChar w:fldCharType="begin"/>
      </w:r>
      <w:r>
        <w:instrText xml:space="preserve"> PAGEREF _Toc17719426 \h </w:instrText>
      </w:r>
      <w:r>
        <w:fldChar w:fldCharType="separate"/>
      </w:r>
      <w:r>
        <w:t>24</w:t>
      </w:r>
      <w:r>
        <w:fldChar w:fldCharType="end"/>
      </w:r>
      <w:r>
        <w:fldChar w:fldCharType="end"/>
      </w:r>
    </w:p>
    <w:p>
      <w:pPr>
        <w:pStyle w:val="14"/>
        <w:tabs>
          <w:tab w:val="right" w:leader="dot" w:pos="10082"/>
        </w:tabs>
        <w:ind w:left="480" w:firstLine="480"/>
        <w:rPr>
          <w:rFonts w:ascii="Calibri" w:hAnsi="Calibri" w:cs="Times New Roman"/>
          <w:sz w:val="21"/>
        </w:rPr>
      </w:pPr>
      <w:r>
        <w:fldChar w:fldCharType="begin"/>
      </w:r>
      <w:r>
        <w:instrText xml:space="preserve"> HYPERLINK \l "_Toc17719427" </w:instrText>
      </w:r>
      <w:r>
        <w:fldChar w:fldCharType="separate"/>
      </w:r>
      <w:r>
        <w:rPr>
          <w:rStyle w:val="21"/>
          <w:rFonts w:ascii="宋体" w:hAnsi="宋体" w:cs="宋体"/>
        </w:rPr>
        <w:t>3.11申请退还保证金</w:t>
      </w:r>
      <w:r>
        <w:tab/>
      </w:r>
      <w:r>
        <w:fldChar w:fldCharType="begin"/>
      </w:r>
      <w:r>
        <w:instrText xml:space="preserve"> PAGEREF _Toc17719427 \h </w:instrText>
      </w:r>
      <w:r>
        <w:fldChar w:fldCharType="separate"/>
      </w:r>
      <w:r>
        <w:t>28</w:t>
      </w:r>
      <w:r>
        <w:fldChar w:fldCharType="end"/>
      </w:r>
      <w:r>
        <w:fldChar w:fldCharType="end"/>
      </w:r>
    </w:p>
    <w:p>
      <w:pPr>
        <w:pStyle w:val="14"/>
        <w:tabs>
          <w:tab w:val="right" w:leader="dot" w:pos="10082"/>
        </w:tabs>
        <w:ind w:left="480" w:firstLine="480"/>
        <w:rPr>
          <w:rFonts w:ascii="Calibri" w:hAnsi="Calibri" w:cs="Times New Roman"/>
          <w:sz w:val="21"/>
        </w:rPr>
      </w:pPr>
      <w:r>
        <w:fldChar w:fldCharType="begin"/>
      </w:r>
      <w:r>
        <w:instrText xml:space="preserve"> HYPERLINK \l "_Toc17719428" </w:instrText>
      </w:r>
      <w:r>
        <w:fldChar w:fldCharType="separate"/>
      </w:r>
      <w:r>
        <w:rPr>
          <w:rStyle w:val="21"/>
          <w:rFonts w:ascii="宋体" w:hAnsi="宋体" w:cs="宋体"/>
        </w:rPr>
        <w:t>3.12采购异常</w:t>
      </w:r>
      <w:r>
        <w:tab/>
      </w:r>
      <w:r>
        <w:fldChar w:fldCharType="begin"/>
      </w:r>
      <w:r>
        <w:instrText xml:space="preserve"> PAGEREF _Toc17719428 \h </w:instrText>
      </w:r>
      <w:r>
        <w:fldChar w:fldCharType="separate"/>
      </w:r>
      <w:r>
        <w:t>29</w:t>
      </w:r>
      <w:r>
        <w:fldChar w:fldCharType="end"/>
      </w:r>
      <w:r>
        <w:fldChar w:fldCharType="end"/>
      </w:r>
    </w:p>
    <w:p>
      <w:pPr>
        <w:pStyle w:val="14"/>
        <w:tabs>
          <w:tab w:val="right" w:leader="dot" w:pos="10082"/>
        </w:tabs>
        <w:ind w:left="480" w:firstLine="480"/>
        <w:rPr>
          <w:rFonts w:ascii="Calibri" w:hAnsi="Calibri" w:cs="Times New Roman"/>
          <w:sz w:val="21"/>
        </w:rPr>
      </w:pPr>
      <w:r>
        <w:fldChar w:fldCharType="begin"/>
      </w:r>
      <w:r>
        <w:instrText xml:space="preserve"> HYPERLINK \l "_Toc17719429" </w:instrText>
      </w:r>
      <w:r>
        <w:fldChar w:fldCharType="separate"/>
      </w:r>
      <w:r>
        <w:rPr>
          <w:rStyle w:val="21"/>
        </w:rPr>
        <w:t>3.13 资料归档</w:t>
      </w:r>
      <w:r>
        <w:tab/>
      </w:r>
      <w:r>
        <w:fldChar w:fldCharType="begin"/>
      </w:r>
      <w:r>
        <w:instrText xml:space="preserve"> PAGEREF _Toc17719429 \h </w:instrText>
      </w:r>
      <w:r>
        <w:fldChar w:fldCharType="separate"/>
      </w:r>
      <w:r>
        <w:t>30</w:t>
      </w:r>
      <w:r>
        <w:fldChar w:fldCharType="end"/>
      </w:r>
      <w:r>
        <w:fldChar w:fldCharType="end"/>
      </w:r>
    </w:p>
    <w:p>
      <w:pPr>
        <w:tabs>
          <w:tab w:val="right" w:leader="dot" w:pos="10204"/>
        </w:tabs>
        <w:ind w:firstLine="0" w:firstLineChars="0"/>
        <w:jc w:val="center"/>
        <w:sectPr>
          <w:headerReference r:id="rId5" w:type="first"/>
          <w:footerReference r:id="rId8" w:type="first"/>
          <w:headerReference r:id="rId3" w:type="default"/>
          <w:footerReference r:id="rId6" w:type="default"/>
          <w:headerReference r:id="rId4" w:type="even"/>
          <w:footerReference r:id="rId7" w:type="even"/>
          <w:pgSz w:w="11906" w:h="16838"/>
          <w:pgMar w:top="1020" w:right="907" w:bottom="1020" w:left="907" w:header="851" w:footer="680" w:gutter="0"/>
          <w:pgNumType w:start="1"/>
          <w:cols w:space="720" w:num="1"/>
          <w:docGrid w:type="lines" w:linePitch="328" w:charSpace="0"/>
        </w:sectPr>
      </w:pPr>
      <w:r>
        <w:fldChar w:fldCharType="end"/>
      </w:r>
      <w:bookmarkStart w:id="0" w:name="_Toc427496340"/>
      <w:bookmarkStart w:id="1" w:name="_Toc464644765"/>
      <w:bookmarkStart w:id="2" w:name="_Toc27016"/>
      <w:bookmarkStart w:id="3" w:name="_Toc3046"/>
      <w:bookmarkStart w:id="4" w:name="_Toc15892"/>
      <w:bookmarkStart w:id="5" w:name="_Toc14347"/>
      <w:bookmarkStart w:id="6" w:name="_Toc31791"/>
    </w:p>
    <w:bookmarkEnd w:id="0"/>
    <w:bookmarkEnd w:id="1"/>
    <w:p>
      <w:pPr>
        <w:pStyle w:val="2"/>
        <w:numPr>
          <w:ilvl w:val="0"/>
          <w:numId w:val="0"/>
        </w:numPr>
        <w:rPr>
          <w:rFonts w:ascii="宋体" w:hAnsi="宋体" w:cs="宋体"/>
          <w:sz w:val="24"/>
          <w:szCs w:val="24"/>
        </w:rPr>
      </w:pPr>
      <w:bookmarkStart w:id="7" w:name="_Toc17719410"/>
      <w:r>
        <w:rPr>
          <w:rFonts w:hint="eastAsia" w:ascii="宋体" w:hAnsi="宋体" w:cs="宋体"/>
          <w:sz w:val="24"/>
          <w:szCs w:val="24"/>
        </w:rPr>
        <w:t>1、用户</w:t>
      </w:r>
      <w:bookmarkEnd w:id="2"/>
      <w:bookmarkEnd w:id="3"/>
      <w:bookmarkEnd w:id="4"/>
      <w:bookmarkEnd w:id="5"/>
      <w:bookmarkEnd w:id="6"/>
      <w:r>
        <w:rPr>
          <w:rFonts w:hint="eastAsia" w:ascii="宋体" w:hAnsi="宋体" w:cs="宋体"/>
          <w:sz w:val="24"/>
          <w:szCs w:val="24"/>
        </w:rPr>
        <w:t>登录</w:t>
      </w:r>
      <w:bookmarkEnd w:id="7"/>
    </w:p>
    <w:p>
      <w:pPr>
        <w:numPr>
          <w:ilvl w:val="0"/>
          <w:numId w:val="3"/>
        </w:numPr>
        <w:ind w:left="240" w:leftChars="100" w:firstLine="480"/>
      </w:pPr>
      <w:r>
        <w:rPr>
          <w:rFonts w:hint="eastAsia"/>
        </w:rPr>
        <w:t>访问</w:t>
      </w:r>
      <w:r>
        <w:rPr>
          <w:rFonts w:hint="eastAsia"/>
          <w:lang w:val="en-US" w:eastAsia="zh-CN"/>
        </w:rPr>
        <w:t>恒德易电子</w:t>
      </w:r>
      <w:r>
        <w:rPr>
          <w:rFonts w:hint="eastAsia"/>
        </w:rPr>
        <w:t>交易平台（</w:t>
      </w:r>
      <w:r>
        <w:rPr>
          <w:rStyle w:val="21"/>
          <w:rFonts w:hint="eastAsia"/>
        </w:rPr>
        <w:t>http://eps.gdebidding.com/</w:t>
      </w:r>
      <w:r>
        <w:rPr>
          <w:rFonts w:hint="eastAsia"/>
        </w:rPr>
        <w:t>）。</w:t>
      </w:r>
    </w:p>
    <w:p>
      <w:pPr>
        <w:ind w:left="420" w:firstLine="0" w:firstLineChars="0"/>
      </w:pPr>
      <w:r>
        <w:pict>
          <v:shape id="_x0000_i1094" o:spt="75" type="#_x0000_t75" style="height:236.35pt;width:503.9pt;" filled="f" stroked="f" coordsize="21600,21600">
            <v:path/>
            <v:fill on="f" focussize="0,0"/>
            <v:stroke on="f"/>
            <v:imagedata r:id="rId12" o:title=""/>
            <o:lock v:ext="edit" aspectratio="t"/>
            <w10:wrap type="none"/>
            <w10:anchorlock/>
          </v:shape>
        </w:pict>
      </w:r>
    </w:p>
    <w:p>
      <w:pPr>
        <w:numPr>
          <w:ilvl w:val="0"/>
          <w:numId w:val="3"/>
        </w:numPr>
        <w:ind w:firstLine="480"/>
      </w:pPr>
      <w:r>
        <w:rPr>
          <w:rFonts w:hint="eastAsia"/>
        </w:rPr>
        <w:t>选择登录入口后，输入账号密码进行登录。</w:t>
      </w:r>
    </w:p>
    <w:p>
      <w:pPr>
        <w:ind w:left="420" w:firstLine="0" w:firstLineChars="0"/>
      </w:pPr>
      <w:r>
        <w:pict>
          <v:shape id="_x0000_i1095" o:spt="75" type="#_x0000_t75" style="height:230.45pt;width:504.6pt;" filled="f" stroked="f" coordsize="21600,21600">
            <v:path/>
            <v:fill on="f" focussize="0,0"/>
            <v:stroke on="f"/>
            <v:imagedata r:id="rId13" o:title=""/>
            <o:lock v:ext="edit" aspectratio="t"/>
            <w10:wrap type="none"/>
            <w10:anchorlock/>
          </v:shape>
        </w:pict>
      </w:r>
      <w:bookmarkStart w:id="41" w:name="_GoBack"/>
      <w:bookmarkEnd w:id="41"/>
    </w:p>
    <w:p>
      <w:pPr>
        <w:ind w:left="420" w:firstLine="0" w:firstLineChars="0"/>
      </w:pPr>
      <w:r>
        <w:pict>
          <v:shape id="_x0000_i1027" o:spt="75" type="#_x0000_t75" style="height:194.95pt;width:489.05pt;" filled="f" o:preferrelative="t" stroked="f" coordsize="21600,21600">
            <v:path/>
            <v:fill on="f" focussize="0,0"/>
            <v:stroke on="f" joinstyle="miter"/>
            <v:imagedata r:id="rId14" o:title=""/>
            <o:lock v:ext="edit" aspectratio="t"/>
            <w10:wrap type="none"/>
            <w10:anchorlock/>
          </v:shape>
        </w:pict>
      </w:r>
    </w:p>
    <w:p>
      <w:pPr>
        <w:pStyle w:val="2"/>
        <w:numPr>
          <w:ilvl w:val="0"/>
          <w:numId w:val="4"/>
        </w:numPr>
      </w:pPr>
      <w:bookmarkStart w:id="8" w:name="_Toc17719411"/>
      <w:r>
        <w:rPr>
          <w:rFonts w:hint="eastAsia"/>
          <w:sz w:val="24"/>
          <w:szCs w:val="24"/>
        </w:rPr>
        <w:t>竞卖业务（竞高价）流程图</w:t>
      </w:r>
      <w:bookmarkEnd w:id="8"/>
    </w:p>
    <w:p>
      <w:pPr>
        <w:ind w:firstLine="480"/>
        <w:jc w:val="center"/>
      </w:pPr>
      <w:r>
        <w:pict>
          <v:shape id="_x0000_i1028" o:spt="75" type="#_x0000_t75" style="height:688.1pt;width:341.65pt;" filled="f" o:preferrelative="t" stroked="f" coordsize="21600,21600">
            <v:path/>
            <v:fill on="f" focussize="0,0"/>
            <v:stroke on="f" joinstyle="miter"/>
            <v:imagedata r:id="rId15" o:title="TIM图片20190827172232"/>
            <o:lock v:ext="edit" aspectratio="t"/>
            <w10:wrap type="none"/>
            <w10:anchorlock/>
          </v:shape>
        </w:pict>
      </w:r>
    </w:p>
    <w:p>
      <w:pPr>
        <w:pStyle w:val="2"/>
        <w:numPr>
          <w:ilvl w:val="0"/>
          <w:numId w:val="5"/>
        </w:numPr>
        <w:rPr>
          <w:sz w:val="24"/>
          <w:szCs w:val="24"/>
        </w:rPr>
      </w:pPr>
      <w:bookmarkStart w:id="9" w:name="_Toc17719412"/>
      <w:r>
        <w:rPr>
          <w:rFonts w:hint="eastAsia"/>
          <w:sz w:val="24"/>
          <w:szCs w:val="24"/>
        </w:rPr>
        <w:t>网上竞卖（竞高价）</w:t>
      </w:r>
      <w:bookmarkEnd w:id="9"/>
    </w:p>
    <w:p>
      <w:pPr>
        <w:ind w:firstLine="480"/>
      </w:pPr>
      <w:r>
        <w:rPr>
          <w:rFonts w:hint="eastAsia"/>
        </w:rPr>
        <w:t>代理专区用于代理机构或有代发权限的机构发布其他竞卖人的竞卖项目，竞卖人可在代理专区查看被代理的竞卖项目。下面介绍竞卖业务的操作。</w:t>
      </w:r>
    </w:p>
    <w:p>
      <w:pPr>
        <w:pStyle w:val="3"/>
        <w:numPr>
          <w:ilvl w:val="1"/>
          <w:numId w:val="0"/>
        </w:numPr>
        <w:rPr>
          <w:rFonts w:ascii="宋体" w:hAnsi="宋体" w:cs="宋体"/>
          <w:sz w:val="24"/>
          <w:szCs w:val="24"/>
        </w:rPr>
      </w:pPr>
      <w:bookmarkStart w:id="10" w:name="_Toc22044"/>
      <w:bookmarkStart w:id="11" w:name="_Toc31100"/>
      <w:bookmarkStart w:id="12" w:name="_Toc16852"/>
      <w:bookmarkStart w:id="13" w:name="_Toc8405"/>
      <w:bookmarkStart w:id="14" w:name="_Toc17719413"/>
      <w:bookmarkStart w:id="15" w:name="_Toc26826"/>
      <w:bookmarkStart w:id="16" w:name="_Toc4068"/>
      <w:r>
        <w:rPr>
          <w:rFonts w:hint="eastAsia" w:ascii="宋体" w:hAnsi="宋体" w:cs="宋体"/>
          <w:sz w:val="24"/>
          <w:szCs w:val="24"/>
        </w:rPr>
        <w:t>3.1发布竞卖公告</w:t>
      </w:r>
      <w:bookmarkEnd w:id="10"/>
      <w:bookmarkEnd w:id="11"/>
      <w:bookmarkEnd w:id="12"/>
      <w:bookmarkEnd w:id="13"/>
      <w:bookmarkEnd w:id="14"/>
      <w:bookmarkEnd w:id="15"/>
      <w:bookmarkEnd w:id="16"/>
    </w:p>
    <w:p>
      <w:pPr>
        <w:numPr>
          <w:ilvl w:val="0"/>
          <w:numId w:val="6"/>
        </w:numPr>
        <w:ind w:firstLineChars="0"/>
        <w:outlineLvl w:val="3"/>
      </w:pPr>
      <w:r>
        <w:rPr>
          <w:rFonts w:hint="eastAsia"/>
        </w:rPr>
        <w:t>添加竞卖公告</w:t>
      </w:r>
    </w:p>
    <w:p>
      <w:pPr>
        <w:ind w:firstLine="420" w:firstLineChars="0"/>
      </w:pPr>
      <w:r>
        <w:rPr>
          <w:rFonts w:hint="eastAsia"/>
        </w:rPr>
        <w:t>点击左侧菜单栏【发布竞卖公告】进入“竞卖公告”列表页后，点击【添加】进入“发布竞卖公告”详细页面。在“发布竞卖公告”详细页面中，依次填写“</w:t>
      </w:r>
      <w:r>
        <w:t>项目信息</w:t>
      </w:r>
      <w:r>
        <w:rPr>
          <w:rFonts w:hint="eastAsia"/>
        </w:rPr>
        <w:t>、竞卖人信息、包件信息”。</w:t>
      </w:r>
    </w:p>
    <w:p>
      <w:pPr>
        <w:ind w:firstLine="0" w:firstLineChars="0"/>
      </w:pPr>
      <w:r>
        <w:pict>
          <v:shape id="_x0000_i1029" o:spt="75" type="#_x0000_t75" style="height:234.35pt;width:504.7pt;" filled="f" o:preferrelative="t" stroked="f" coordsize="21600,21600">
            <v:path/>
            <v:fill on="f" focussize="0,0"/>
            <v:stroke on="f" joinstyle="miter"/>
            <v:imagedata r:id="rId16" o:title=""/>
            <o:lock v:ext="edit" aspectratio="t"/>
            <w10:wrap type="none"/>
            <w10:anchorlock/>
          </v:shape>
        </w:pict>
      </w:r>
      <w:r>
        <w:pict>
          <v:shape id="_x0000_i1030" o:spt="75" type="#_x0000_t75" style="height:189.5pt;width:504pt;" filled="f" o:preferrelative="t" stroked="f" coordsize="21600,21600">
            <v:path/>
            <v:fill on="f" focussize="0,0"/>
            <v:stroke on="f" joinstyle="miter"/>
            <v:imagedata r:id="rId17" cropbottom="20127f" o:title=""/>
            <o:lock v:ext="edit" aspectratio="t"/>
            <w10:wrap type="none"/>
            <w10:anchorlock/>
          </v:shape>
        </w:pict>
      </w:r>
    </w:p>
    <w:p>
      <w:pPr>
        <w:numPr>
          <w:ilvl w:val="0"/>
          <w:numId w:val="6"/>
        </w:numPr>
        <w:ind w:firstLineChars="0"/>
        <w:outlineLvl w:val="3"/>
      </w:pPr>
      <w:r>
        <w:rPr>
          <w:rFonts w:hint="eastAsia"/>
        </w:rPr>
        <w:t>填写项目信息</w:t>
      </w:r>
    </w:p>
    <w:p>
      <w:pPr>
        <w:snapToGrid w:val="0"/>
        <w:ind w:left="420" w:firstLine="0" w:firstLineChars="0"/>
      </w:pPr>
      <w:r>
        <w:rPr>
          <w:rFonts w:hint="eastAsia"/>
        </w:rPr>
        <w:t>根据项目情况自行填写“竞卖项目名称、竞卖项目编号、竞卖项目类型”。</w:t>
      </w:r>
    </w:p>
    <w:p>
      <w:pPr>
        <w:snapToGrid w:val="0"/>
        <w:ind w:firstLine="0" w:firstLineChars="0"/>
      </w:pPr>
      <w:r>
        <w:pict>
          <v:shape id="_x0000_i1031" o:spt="75" type="#_x0000_t75" style="height:131.1pt;width:504pt;" filled="f" o:preferrelative="t" stroked="f" coordsize="21600,21600">
            <v:path/>
            <v:fill on="f" focussize="0,0"/>
            <v:stroke on="f" joinstyle="miter"/>
            <v:imagedata r:id="rId18" o:title=""/>
            <o:lock v:ext="edit" aspectratio="t"/>
            <w10:wrap type="none"/>
            <w10:anchorlock/>
          </v:shape>
        </w:pict>
      </w:r>
    </w:p>
    <w:p>
      <w:pPr>
        <w:numPr>
          <w:ilvl w:val="0"/>
          <w:numId w:val="6"/>
        </w:numPr>
        <w:snapToGrid w:val="0"/>
        <w:ind w:firstLineChars="0"/>
        <w:outlineLvl w:val="3"/>
      </w:pPr>
      <w:r>
        <w:rPr>
          <w:rFonts w:hint="eastAsia"/>
        </w:rPr>
        <w:t>填写竞卖人信息</w:t>
      </w:r>
    </w:p>
    <w:p>
      <w:pPr>
        <w:snapToGrid w:val="0"/>
        <w:ind w:firstLine="420" w:firstLineChars="0"/>
      </w:pPr>
      <w:r>
        <w:rPr>
          <w:rFonts w:hint="eastAsia"/>
        </w:rPr>
        <w:t>选择“竞卖人名称”，填写“竞卖人地址、联系人、联系电话”，选择竞卖人下经办人“个人用户”并填写“个人联系电话”。</w:t>
      </w:r>
    </w:p>
    <w:p>
      <w:pPr>
        <w:snapToGrid w:val="0"/>
        <w:ind w:firstLineChars="0"/>
      </w:pPr>
      <w:r>
        <w:pict>
          <v:shape id="_x0000_i1032" o:spt="75" type="#_x0000_t75" style="height:129.75pt;width:504pt;" filled="f" o:preferrelative="t" stroked="f" coordsize="21600,21600">
            <v:path/>
            <v:fill on="f" focussize="0,0"/>
            <v:stroke on="f" joinstyle="miter"/>
            <v:imagedata r:id="rId19" o:title=""/>
            <o:lock v:ext="edit" aspectratio="t"/>
            <w10:wrap type="none"/>
            <w10:anchorlock/>
          </v:shape>
        </w:pict>
      </w:r>
    </w:p>
    <w:p>
      <w:pPr>
        <w:numPr>
          <w:ilvl w:val="0"/>
          <w:numId w:val="6"/>
        </w:numPr>
        <w:snapToGrid w:val="0"/>
        <w:ind w:firstLineChars="0"/>
        <w:outlineLvl w:val="3"/>
      </w:pPr>
      <w:r>
        <w:rPr>
          <w:rFonts w:hint="eastAsia"/>
        </w:rPr>
        <w:t>填写代理机构信息</w:t>
      </w:r>
    </w:p>
    <w:p>
      <w:pPr>
        <w:numPr>
          <w:ilvl w:val="0"/>
          <w:numId w:val="7"/>
        </w:numPr>
        <w:snapToGrid w:val="0"/>
        <w:ind w:firstLineChars="0"/>
      </w:pPr>
      <w:r>
        <w:rPr>
          <w:rFonts w:hint="eastAsia"/>
        </w:rPr>
        <w:t>代理信息</w:t>
      </w:r>
    </w:p>
    <w:p>
      <w:pPr>
        <w:snapToGrid w:val="0"/>
        <w:ind w:left="420" w:firstLine="420" w:firstLineChars="0"/>
      </w:pPr>
      <w:r>
        <w:rPr>
          <w:rFonts w:hint="eastAsia"/>
        </w:rPr>
        <w:t>“代理机构名称”默认为当前登录用户企业名称不可编辑修改，“代理机构地址、代理机构联系人、联系电话”由经办人手动填写。</w:t>
      </w:r>
    </w:p>
    <w:p>
      <w:pPr>
        <w:snapToGrid w:val="0"/>
        <w:ind w:firstLineChars="0"/>
      </w:pPr>
      <w:r>
        <w:pict>
          <v:shape id="_x0000_i1033" o:spt="75" type="#_x0000_t75" style="height:89pt;width:504.7pt;" filled="f" o:preferrelative="t" stroked="f" coordsize="21600,21600">
            <v:path/>
            <v:fill on="f" focussize="0,0"/>
            <v:stroke on="f" joinstyle="miter"/>
            <v:imagedata r:id="rId20" cropbottom="43526f" o:title=""/>
            <o:lock v:ext="edit" aspectratio="t"/>
            <w10:wrap type="none"/>
            <w10:anchorlock/>
          </v:shape>
        </w:pict>
      </w:r>
    </w:p>
    <w:p>
      <w:pPr>
        <w:numPr>
          <w:ilvl w:val="0"/>
          <w:numId w:val="7"/>
        </w:numPr>
        <w:snapToGrid w:val="0"/>
        <w:ind w:firstLineChars="0"/>
      </w:pPr>
      <w:r>
        <w:rPr>
          <w:rFonts w:hint="eastAsia"/>
        </w:rPr>
        <w:t>其他项目信息</w:t>
      </w:r>
    </w:p>
    <w:p>
      <w:pPr>
        <w:snapToGrid w:val="0"/>
        <w:ind w:left="420" w:firstLine="420" w:firstLineChars="0"/>
      </w:pPr>
      <w:r>
        <w:rPr>
          <w:rFonts w:hint="eastAsia"/>
        </w:rPr>
        <w:t>“采购方式”默认为进入发布公告前选择的“网上竞卖”不可修改，“最少供应商数量”可下拉选择“最少1家、最少2家、最少3家”，“公开范围”单选“所有供应商、仅限邀请供应商”。</w:t>
      </w:r>
    </w:p>
    <w:p>
      <w:pPr>
        <w:snapToGrid w:val="0"/>
        <w:ind w:firstLineChars="0"/>
      </w:pPr>
      <w:r>
        <w:pict>
          <v:shape id="_x0000_i1034" o:spt="75" type="#_x0000_t75" style="height:65.2pt;width:504pt;" filled="f" o:preferrelative="t" stroked="f" coordsize="21600,21600">
            <v:path/>
            <v:fill on="f" focussize="0,0"/>
            <v:stroke on="f" joinstyle="miter"/>
            <v:imagedata r:id="rId21" o:title=""/>
            <o:lock v:ext="edit" aspectratio="t"/>
            <w10:wrap type="none"/>
            <w10:anchorlock/>
          </v:shape>
        </w:pict>
      </w:r>
    </w:p>
    <w:p>
      <w:pPr>
        <w:snapToGrid w:val="0"/>
        <w:ind w:left="420" w:firstLine="0" w:firstLineChars="0"/>
        <w:rPr>
          <w:color w:val="C00000"/>
        </w:rPr>
      </w:pPr>
      <w:r>
        <w:rPr>
          <w:rFonts w:hint="eastAsia"/>
          <w:color w:val="C00000"/>
        </w:rPr>
        <w:t>注：</w:t>
      </w:r>
    </w:p>
    <w:p>
      <w:pPr>
        <w:snapToGrid w:val="0"/>
        <w:ind w:left="420" w:firstLine="420" w:firstLineChars="0"/>
      </w:pPr>
      <w:r>
        <w:rPr>
          <w:rFonts w:hint="eastAsia" w:ascii="宋体" w:hAnsi="宋体" w:cs="宋体"/>
          <w:szCs w:val="24"/>
        </w:rPr>
        <w:t>“最少供应商数量”指本次竞卖项目，竞卖人自行设定参与报价的会议室最少家数，若参与项目的供应商不满足最少家数则本次项目自动流程，竞卖人可对流标的项目发起重新竞卖，再次进行竞卖；</w:t>
      </w:r>
      <w:r>
        <w:rPr>
          <w:rFonts w:hint="eastAsia"/>
        </w:rPr>
        <w:t xml:space="preserve"> </w:t>
      </w:r>
    </w:p>
    <w:p>
      <w:pPr>
        <w:numPr>
          <w:ilvl w:val="0"/>
          <w:numId w:val="7"/>
        </w:numPr>
        <w:snapToGrid w:val="0"/>
        <w:ind w:firstLineChars="0"/>
      </w:pPr>
      <w:r>
        <w:rPr>
          <w:rFonts w:hint="eastAsia"/>
        </w:rPr>
        <w:t>项目时间安排</w:t>
      </w:r>
    </w:p>
    <w:p>
      <w:pPr>
        <w:snapToGrid w:val="0"/>
        <w:ind w:firstLine="420" w:firstLineChars="0"/>
      </w:pPr>
      <w:r>
        <w:rPr>
          <w:rFonts w:hint="eastAsia"/>
        </w:rPr>
        <w:t>经办人根据项目情况自行填写“公告开始时间、公告截止时间、质疑截止时间、答疑截止时间、竞卖开始时间”；若“是否资质文件递交”选择【是】，则还需填写“资质文件递交截止时间”和“资质文件审核截止时间”。</w:t>
      </w:r>
    </w:p>
    <w:p>
      <w:pPr>
        <w:snapToGrid w:val="0"/>
        <w:ind w:firstLine="420" w:firstLineChars="0"/>
        <w:rPr>
          <w:color w:val="C00000"/>
        </w:rPr>
      </w:pPr>
      <w:r>
        <w:rPr>
          <w:rFonts w:hint="eastAsia"/>
          <w:color w:val="C00000"/>
        </w:rPr>
        <w:t>注：</w:t>
      </w:r>
    </w:p>
    <w:p>
      <w:pPr>
        <w:snapToGrid w:val="0"/>
        <w:ind w:firstLine="420" w:firstLineChars="0"/>
      </w:pPr>
      <w:r>
        <w:rPr>
          <w:rFonts w:hint="eastAsia"/>
        </w:rPr>
        <w:t>若设置了需要递交资质文件，则供应商在项目一开始时就必须提交资质文件，并由经办人审核通过后才能后续参与项目。</w:t>
      </w:r>
    </w:p>
    <w:p>
      <w:pPr>
        <w:numPr>
          <w:ilvl w:val="255"/>
          <w:numId w:val="0"/>
        </w:numPr>
        <w:ind w:firstLine="240" w:firstLineChars="100"/>
      </w:pPr>
      <w:r>
        <w:pict>
          <v:shape id="_x0000_i1035" o:spt="75" type="#_x0000_t75" style="height:109.35pt;width:504pt;" filled="f" o:preferrelative="t" stroked="f" coordsize="21600,21600">
            <v:path/>
            <v:fill on="f" focussize="0,0"/>
            <v:stroke on="f" joinstyle="miter"/>
            <v:imagedata r:id="rId22" croptop="9690f" o:title=""/>
            <o:lock v:ext="edit" aspectratio="t"/>
            <w10:wrap type="none"/>
            <w10:anchorlock/>
          </v:shape>
        </w:pict>
      </w:r>
    </w:p>
    <w:p>
      <w:pPr>
        <w:numPr>
          <w:ilvl w:val="0"/>
          <w:numId w:val="6"/>
        </w:numPr>
        <w:ind w:firstLineChars="0"/>
        <w:outlineLvl w:val="3"/>
      </w:pPr>
      <w:r>
        <w:rPr>
          <w:rFonts w:hint="eastAsia"/>
        </w:rPr>
        <w:t>填写包件信息</w:t>
      </w:r>
    </w:p>
    <w:p>
      <w:pPr>
        <w:ind w:left="420" w:firstLine="0" w:firstLineChars="0"/>
      </w:pPr>
      <w:r>
        <w:rPr>
          <w:rFonts w:hint="eastAsia"/>
        </w:rPr>
        <w:t>经办人自行填写选择“包件名称、包件编号、是否需要报名”等信息。</w:t>
      </w:r>
    </w:p>
    <w:p>
      <w:pPr>
        <w:ind w:left="240" w:leftChars="100" w:firstLine="0" w:firstLineChars="0"/>
      </w:pPr>
      <w:r>
        <w:pict>
          <v:shape id="_x0000_i1036" o:spt="75" type="#_x0000_t75" style="height:290.05pt;width:479.55pt;" filled="f" o:preferrelative="t" stroked="f" coordsize="21600,21600">
            <v:path/>
            <v:fill on="f" focussize="0,0"/>
            <v:stroke on="f" joinstyle="miter"/>
            <v:imagedata r:id="rId23" croptop="4497f" cropbottom="5136f" o:title=""/>
            <o:lock v:ext="edit" aspectratio="t"/>
            <w10:wrap type="none"/>
            <w10:anchorlock/>
          </v:shape>
        </w:pict>
      </w:r>
    </w:p>
    <w:p>
      <w:pPr>
        <w:numPr>
          <w:ilvl w:val="0"/>
          <w:numId w:val="7"/>
        </w:numPr>
        <w:ind w:firstLineChars="0"/>
      </w:pPr>
      <w:r>
        <w:rPr>
          <w:rFonts w:hint="eastAsia"/>
        </w:rPr>
        <w:t>结合本次项目情况，设置“是否需要报名”</w:t>
      </w:r>
    </w:p>
    <w:p>
      <w:pPr>
        <w:ind w:left="420" w:firstLine="420" w:firstLineChars="0"/>
      </w:pPr>
      <w:r>
        <w:rPr>
          <w:rFonts w:hint="eastAsia"/>
        </w:rPr>
        <w:t>若需要供应商先进行报名，则选择“是”，并填写报名费金额大小；若设置了需要报名，则供应商在参与该项目时必须先报名缴费才能后续参与项目；</w:t>
      </w:r>
    </w:p>
    <w:p>
      <w:pPr>
        <w:ind w:left="420" w:firstLine="420" w:firstLineChars="0"/>
      </w:pPr>
      <w:r>
        <w:pict>
          <v:shape id="_x0000_i1037" o:spt="75" type="#_x0000_t75" style="height:29.2pt;width:464.6pt;" filled="f" o:preferrelative="t" stroked="f" coordsize="21600,21600">
            <v:path/>
            <v:fill on="f" focussize="0,0"/>
            <v:stroke on="f" joinstyle="miter"/>
            <v:imagedata r:id="rId24" cropright="5176f" o:title=""/>
            <o:lock v:ext="edit" aspectratio="t"/>
            <w10:wrap type="none"/>
            <w10:anchorlock/>
          </v:shape>
        </w:pict>
      </w:r>
    </w:p>
    <w:p>
      <w:pPr>
        <w:numPr>
          <w:ilvl w:val="0"/>
          <w:numId w:val="7"/>
        </w:numPr>
        <w:ind w:firstLineChars="0"/>
      </w:pPr>
      <w:r>
        <w:rPr>
          <w:rFonts w:hint="eastAsia"/>
        </w:rPr>
        <w:t>结合本次项目情况，设置“是否缴纳保证金”</w:t>
      </w:r>
    </w:p>
    <w:p>
      <w:pPr>
        <w:ind w:left="420" w:firstLine="420" w:firstLineChars="0"/>
      </w:pPr>
      <w:r>
        <w:rPr>
          <w:rFonts w:hint="eastAsia"/>
        </w:rPr>
        <w:t>若需要供应商缴纳保证金，则选择“是”，并填写保证金的基本信息，包括：保证金金额、账户名、开户银行、账户账号；若不要求缴纳保证金，选择“否”即可；</w:t>
      </w:r>
    </w:p>
    <w:p>
      <w:pPr>
        <w:ind w:left="420" w:firstLine="420" w:firstLineChars="0"/>
      </w:pPr>
      <w:r>
        <w:rPr>
          <w:rFonts w:hint="eastAsia"/>
        </w:rPr>
        <w:t>若要求提交保证金需供应商提交保证金，并且由审核人员审核通过后才可参与竞价。</w:t>
      </w:r>
    </w:p>
    <w:p>
      <w:pPr>
        <w:ind w:left="420" w:firstLine="420" w:firstLineChars="175"/>
      </w:pPr>
      <w:r>
        <w:pict>
          <v:shape id="_x0000_i1038" o:spt="75" type="#_x0000_t75" style="height:120.25pt;width:467.3pt;" filled="f" o:preferrelative="t" stroked="f" coordsize="21600,21600">
            <v:path/>
            <v:fill on="f" focussize="0,0"/>
            <v:stroke on="f" joinstyle="miter"/>
            <v:imagedata r:id="rId25" o:title=""/>
            <o:lock v:ext="edit" aspectratio="t"/>
            <w10:wrap type="none"/>
            <w10:anchorlock/>
          </v:shape>
        </w:pict>
      </w:r>
    </w:p>
    <w:p>
      <w:pPr>
        <w:numPr>
          <w:ilvl w:val="0"/>
          <w:numId w:val="7"/>
        </w:numPr>
        <w:ind w:firstLineChars="0"/>
      </w:pPr>
      <w:r>
        <w:rPr>
          <w:rFonts w:hint="eastAsia"/>
        </w:rPr>
        <w:t>结合本次项目，设置“竞价方式”、“竞价类型”</w:t>
      </w:r>
    </w:p>
    <w:p>
      <w:pPr>
        <w:ind w:left="420" w:firstLine="420" w:firstLineChars="0"/>
      </w:pPr>
      <w:r>
        <w:pict>
          <v:shape id="_x0000_i1039" o:spt="75" type="#_x0000_t75" style="height:190.85pt;width:482.25pt;" filled="f" o:preferrelative="t" stroked="f" coordsize="21600,21600">
            <v:path/>
            <v:fill on="f" focussize="0,0"/>
            <v:stroke on="f" joinstyle="miter"/>
            <v:imagedata r:id="rId26" o:title=""/>
            <o:lock v:ext="edit" aspectratio="t"/>
            <w10:wrap type="none"/>
            <w10:anchorlock/>
          </v:shape>
        </w:pict>
      </w:r>
    </w:p>
    <w:p>
      <w:pPr>
        <w:pStyle w:val="28"/>
        <w:ind w:left="480" w:leftChars="200" w:firstLine="360" w:firstLineChars="0"/>
        <w:rPr>
          <w:szCs w:val="24"/>
        </w:rPr>
      </w:pPr>
      <w:r>
        <w:rPr>
          <w:rFonts w:hint="eastAsia"/>
          <w:szCs w:val="24"/>
        </w:rPr>
        <w:t>经办人根据项目情况，可设置竞价方式为“自由竞价”或“单轮竞价”，以及“竞价类型”和时长等信息。下面是竞价方式的介绍：</w:t>
      </w:r>
    </w:p>
    <w:p>
      <w:pPr>
        <w:pStyle w:val="28"/>
        <w:numPr>
          <w:ilvl w:val="0"/>
          <w:numId w:val="8"/>
        </w:numPr>
        <w:ind w:firstLineChars="0"/>
        <w:rPr>
          <w:szCs w:val="24"/>
        </w:rPr>
      </w:pPr>
      <w:r>
        <w:rPr>
          <w:rFonts w:hint="eastAsia"/>
          <w:szCs w:val="24"/>
        </w:rPr>
        <w:t>自由竞价</w:t>
      </w:r>
    </w:p>
    <w:p>
      <w:pPr>
        <w:pStyle w:val="28"/>
        <w:ind w:left="480" w:leftChars="200" w:firstLine="360" w:firstLineChars="0"/>
        <w:rPr>
          <w:szCs w:val="24"/>
        </w:rPr>
      </w:pPr>
      <w:r>
        <w:rPr>
          <w:rFonts w:hint="eastAsia"/>
          <w:szCs w:val="24"/>
        </w:rPr>
        <w:t>自由竞价是指竞价项目设置竞价开始时间、竞价时长、加价幅度等竞价要素，符合竞价要求的供应商在竞价开始时间之后进行报价操作；</w:t>
      </w:r>
    </w:p>
    <w:p>
      <w:pPr>
        <w:pStyle w:val="28"/>
        <w:ind w:left="480" w:leftChars="200" w:firstLine="360" w:firstLineChars="0"/>
        <w:rPr>
          <w:szCs w:val="24"/>
        </w:rPr>
      </w:pPr>
      <w:r>
        <w:rPr>
          <w:rFonts w:hint="eastAsia"/>
          <w:szCs w:val="24"/>
        </w:rPr>
        <w:t>供应商可多次报价，系统以供应商最后一次成功确认的报价作为最终报价；报价截止后，按照“满足竞价项目要求且有效报价最低”的原则确定成交供应商；若无供应商参与报价，则竞价失败。</w:t>
      </w:r>
    </w:p>
    <w:p>
      <w:pPr>
        <w:pStyle w:val="28"/>
        <w:ind w:left="480" w:leftChars="200" w:firstLine="360" w:firstLineChars="0"/>
        <w:rPr>
          <w:szCs w:val="24"/>
        </w:rPr>
      </w:pPr>
      <w:r>
        <w:rPr>
          <w:rFonts w:hint="eastAsia"/>
          <w:szCs w:val="24"/>
        </w:rPr>
        <w:t>自由竞价又可设置限时竞价阶段。限时竞价指，当竞价时长截止将进入竞价限时</w:t>
      </w:r>
      <w:r>
        <w:rPr>
          <w:szCs w:val="24"/>
        </w:rPr>
        <w:softHyphen/>
      </w:r>
      <w:r>
        <w:rPr>
          <w:szCs w:val="24"/>
        </w:rPr>
        <w:t>分钟倒计时，供应商在此时间内可无限次报价，如有供应商报价，时间自动重置；限时内无人再次竞价，限时倒计时截止即确定竞价结果。</w:t>
      </w:r>
    </w:p>
    <w:p>
      <w:pPr>
        <w:pStyle w:val="28"/>
        <w:numPr>
          <w:ilvl w:val="0"/>
          <w:numId w:val="8"/>
        </w:numPr>
        <w:ind w:firstLineChars="0"/>
        <w:rPr>
          <w:szCs w:val="24"/>
        </w:rPr>
      </w:pPr>
      <w:r>
        <w:rPr>
          <w:rFonts w:hint="eastAsia"/>
          <w:szCs w:val="24"/>
        </w:rPr>
        <w:t>单轮竞价</w:t>
      </w:r>
    </w:p>
    <w:p>
      <w:pPr>
        <w:pStyle w:val="28"/>
        <w:ind w:left="480" w:leftChars="200" w:firstLine="360" w:firstLineChars="0"/>
        <w:rPr>
          <w:szCs w:val="24"/>
        </w:rPr>
      </w:pPr>
      <w:r>
        <w:rPr>
          <w:rFonts w:hint="eastAsia"/>
          <w:szCs w:val="24"/>
        </w:rPr>
        <w:t>单轮竞价是指竞价项目设置竞价开始时间、竞价时长等竞价要素，符合竞价要求的供应商在竞价开始时间之后进行报价操作；</w:t>
      </w:r>
    </w:p>
    <w:p>
      <w:pPr>
        <w:pStyle w:val="28"/>
        <w:ind w:left="480" w:leftChars="200" w:firstLine="360" w:firstLineChars="0"/>
        <w:rPr>
          <w:szCs w:val="24"/>
        </w:rPr>
      </w:pPr>
      <w:r>
        <w:rPr>
          <w:rFonts w:hint="eastAsia"/>
          <w:szCs w:val="24"/>
        </w:rPr>
        <w:t>供应商仅可报价一次，报价截止后，按照“满足竞价项目要求且有效报价最低”的原则确定成交供应商（如果出现供应商报价均为最低，则先报价者优先）；若无供应商报价，则竞价失败。</w:t>
      </w:r>
    </w:p>
    <w:p>
      <w:pPr>
        <w:pStyle w:val="28"/>
        <w:numPr>
          <w:ilvl w:val="0"/>
          <w:numId w:val="7"/>
        </w:numPr>
        <w:ind w:firstLineChars="0"/>
        <w:rPr>
          <w:szCs w:val="24"/>
        </w:rPr>
      </w:pPr>
      <w:r>
        <w:rPr>
          <w:rFonts w:hint="eastAsia"/>
          <w:szCs w:val="24"/>
        </w:rPr>
        <w:t>添加材料设备信息</w:t>
      </w:r>
    </w:p>
    <w:p>
      <w:pPr>
        <w:pStyle w:val="28"/>
        <w:ind w:left="420" w:firstLineChars="0"/>
        <w:rPr>
          <w:szCs w:val="24"/>
        </w:rPr>
      </w:pPr>
      <w:r>
        <w:rPr>
          <w:rFonts w:hint="eastAsia"/>
          <w:szCs w:val="24"/>
        </w:rPr>
        <w:t>经办人可直接点击【添加】输入材料设备信息，也可点击【导入】下载表格模板，在模板中填写信息，填写完成后直接导入完成信息录入。</w:t>
      </w:r>
    </w:p>
    <w:p>
      <w:pPr>
        <w:pStyle w:val="28"/>
        <w:ind w:left="840" w:firstLine="0" w:firstLineChars="0"/>
        <w:rPr>
          <w:szCs w:val="24"/>
        </w:rPr>
      </w:pPr>
      <w:r>
        <w:pict>
          <v:shape id="_x0000_i1040" o:spt="75" type="#_x0000_t75" style="height:133.15pt;width:465.3pt;" filled="f" o:preferrelative="t" stroked="f" coordsize="21600,21600">
            <v:path/>
            <v:fill on="f" focussize="0,0"/>
            <v:stroke on="f" joinstyle="miter"/>
            <v:imagedata r:id="rId27" o:title=""/>
            <o:lock v:ext="edit" aspectratio="t"/>
            <w10:wrap type="none"/>
            <w10:anchorlock/>
          </v:shape>
        </w:pict>
      </w:r>
    </w:p>
    <w:p>
      <w:pPr>
        <w:numPr>
          <w:ilvl w:val="0"/>
          <w:numId w:val="6"/>
        </w:numPr>
        <w:ind w:firstLineChars="0"/>
        <w:outlineLvl w:val="3"/>
      </w:pPr>
      <w:r>
        <w:rPr>
          <w:rFonts w:hint="eastAsia"/>
        </w:rPr>
        <w:t>确认发布项目信息</w:t>
      </w:r>
    </w:p>
    <w:p>
      <w:pPr>
        <w:ind w:firstLine="420" w:firstLineChars="0"/>
      </w:pPr>
      <w:r>
        <w:rPr>
          <w:rFonts w:hint="eastAsia"/>
        </w:rPr>
        <w:t>竞卖公告信息确认无误后，先点击【保存并提交审核】再点击【提交审核】完成公告提交审核，由审核人员审核通过后即公告正式发布。</w:t>
      </w:r>
    </w:p>
    <w:p>
      <w:pPr>
        <w:snapToGrid w:val="0"/>
        <w:ind w:firstLine="0" w:firstLineChars="0"/>
        <w:jc w:val="left"/>
      </w:pPr>
      <w:r>
        <w:pict>
          <v:shape id="_x0000_i1041" o:spt="75" type="#_x0000_t75" style="height:180pt;width:504.7pt;" filled="f" o:preferrelative="t" stroked="f" coordsize="21600,21600">
            <v:path/>
            <v:fill on="f" focussize="0,0"/>
            <v:stroke on="f" joinstyle="miter"/>
            <v:imagedata r:id="rId28" cropbottom="13996f" o:title=""/>
            <o:lock v:ext="edit" aspectratio="t"/>
            <w10:wrap type="none"/>
            <w10:anchorlock/>
          </v:shape>
        </w:pict>
      </w:r>
      <w:r>
        <w:t xml:space="preserve"> </w:t>
      </w:r>
      <w:r>
        <w:pict>
          <v:shape id="_x0000_i1042" o:spt="75" type="#_x0000_t75" style="height:129.75pt;width:504.7pt;" filled="f" o:preferrelative="t" stroked="f" coordsize="21600,21600">
            <v:path/>
            <v:fill on="f" focussize="0,0"/>
            <v:stroke on="f" joinstyle="miter"/>
            <v:imagedata r:id="rId29" cropbottom="25851f" o:title=""/>
            <o:lock v:ext="edit" aspectratio="t"/>
            <w10:wrap type="none"/>
            <w10:anchorlock/>
          </v:shape>
        </w:pict>
      </w:r>
      <w:r>
        <w:t xml:space="preserve"> </w:t>
      </w:r>
      <w:r>
        <w:pict>
          <v:shape id="_x0000_i1043" o:spt="75" type="#_x0000_t75" style="height:133.15pt;width:504.7pt;" filled="f" o:preferrelative="t" stroked="f" coordsize="21600,21600">
            <v:path/>
            <v:fill on="f" focussize="0,0"/>
            <v:stroke on="f" joinstyle="miter"/>
            <v:imagedata r:id="rId30" o:title=""/>
            <o:lock v:ext="edit" aspectratio="t"/>
            <w10:wrap type="none"/>
            <w10:anchorlock/>
          </v:shape>
        </w:pict>
      </w:r>
    </w:p>
    <w:p>
      <w:pPr>
        <w:pStyle w:val="3"/>
        <w:numPr>
          <w:ilvl w:val="1"/>
          <w:numId w:val="0"/>
        </w:numPr>
        <w:rPr>
          <w:rFonts w:ascii="宋体" w:hAnsi="宋体" w:cs="宋体"/>
          <w:sz w:val="24"/>
          <w:szCs w:val="24"/>
        </w:rPr>
      </w:pPr>
      <w:bookmarkStart w:id="17" w:name="_Toc7224"/>
      <w:bookmarkStart w:id="18" w:name="_Toc17719414"/>
      <w:r>
        <w:rPr>
          <w:rFonts w:hint="eastAsia" w:ascii="宋体" w:hAnsi="宋体" w:cs="宋体"/>
          <w:sz w:val="24"/>
          <w:szCs w:val="24"/>
        </w:rPr>
        <w:t>3.2发布竞卖补遗</w:t>
      </w:r>
      <w:bookmarkEnd w:id="17"/>
      <w:bookmarkEnd w:id="18"/>
    </w:p>
    <w:p>
      <w:pPr>
        <w:ind w:firstLine="480"/>
      </w:pPr>
      <w:r>
        <w:rPr>
          <w:rFonts w:hint="eastAsia"/>
        </w:rPr>
        <w:t>发布竞卖公告后，若对竞卖公告/竞卖文件的内容进行补充或修改，竞卖人可通过发布补遗内容进行说明。</w:t>
      </w:r>
    </w:p>
    <w:p>
      <w:pPr>
        <w:numPr>
          <w:ilvl w:val="0"/>
          <w:numId w:val="9"/>
        </w:numPr>
        <w:ind w:firstLine="480"/>
        <w:rPr>
          <w:b/>
        </w:rPr>
      </w:pPr>
      <w:r>
        <w:rPr>
          <w:rFonts w:hint="eastAsia"/>
        </w:rPr>
        <w:t>点击左侧菜单栏【发布竞卖补遗】进入“发布竞卖补遗”列表页后，点击【查看】进入补遗详细页面。</w:t>
      </w:r>
    </w:p>
    <w:p>
      <w:pPr>
        <w:ind w:firstLine="0" w:firstLineChars="0"/>
        <w:jc w:val="left"/>
      </w:pPr>
      <w:r>
        <w:pict>
          <v:shape id="_x0000_i1044" o:spt="75" type="#_x0000_t75" style="height:230.95pt;width:504.7pt;" filled="f" o:preferrelative="t" stroked="f" coordsize="21600,21600">
            <v:path/>
            <v:fill on="f" focussize="0,0"/>
            <v:stroke on="f" joinstyle="miter"/>
            <v:imagedata r:id="rId31" o:title=""/>
            <o:lock v:ext="edit" aspectratio="t"/>
            <w10:wrap type="none"/>
            <w10:anchorlock/>
          </v:shape>
        </w:pict>
      </w:r>
    </w:p>
    <w:p>
      <w:pPr>
        <w:numPr>
          <w:ilvl w:val="0"/>
          <w:numId w:val="9"/>
        </w:numPr>
        <w:ind w:firstLine="480"/>
        <w:rPr>
          <w:rFonts w:ascii="宋体" w:hAnsi="宋体" w:cs="宋体"/>
          <w:szCs w:val="24"/>
        </w:rPr>
      </w:pPr>
      <w:r>
        <w:rPr>
          <w:rFonts w:hint="eastAsia"/>
        </w:rPr>
        <w:t>在补遗详情页中，点击【添加】进入“添加补遗”详细页面。</w:t>
      </w:r>
    </w:p>
    <w:p>
      <w:pPr>
        <w:ind w:firstLine="0" w:firstLineChars="0"/>
        <w:jc w:val="center"/>
      </w:pPr>
      <w:r>
        <w:pict>
          <v:shape id="_x0000_i1045" o:spt="75" type="#_x0000_t75" style="height:156.25pt;width:504.7pt;" filled="f" o:preferrelative="t" stroked="f" coordsize="21600,21600">
            <v:path/>
            <v:fill on="f" focussize="0,0"/>
            <v:stroke on="f" joinstyle="miter"/>
            <v:imagedata r:id="rId32" o:title=""/>
            <o:lock v:ext="edit" aspectratio="t"/>
            <w10:wrap type="none"/>
            <w10:anchorlock/>
          </v:shape>
        </w:pict>
      </w:r>
    </w:p>
    <w:p>
      <w:pPr>
        <w:numPr>
          <w:ilvl w:val="0"/>
          <w:numId w:val="9"/>
        </w:numPr>
        <w:ind w:firstLine="480"/>
      </w:pPr>
      <w:r>
        <w:rPr>
          <w:rFonts w:hint="eastAsia"/>
        </w:rPr>
        <w:t>在“添加补遗”详细页面中，填写标题和说明，可选择变更类型、是否变更时间，也可根据需要上传补遗附件，信息确认无误后，点击【保存并提交审核】补遗内容已提交</w:t>
      </w:r>
      <w:r>
        <w:t>审核</w:t>
      </w:r>
      <w:r>
        <w:rPr>
          <w:rFonts w:hint="eastAsia"/>
        </w:rPr>
        <w:t>，审核通过后即可发布生效。</w:t>
      </w:r>
    </w:p>
    <w:p>
      <w:pPr>
        <w:ind w:firstLine="0" w:firstLineChars="0"/>
        <w:jc w:val="left"/>
      </w:pPr>
      <w:r>
        <w:pict>
          <v:shape id="_x0000_i1046" o:spt="75" type="#_x0000_t75" style="height:300.9pt;width:504.7pt;" filled="f" o:preferrelative="t" stroked="f" coordsize="21600,21600">
            <v:path/>
            <v:fill on="f" focussize="0,0"/>
            <v:stroke on="f" joinstyle="miter"/>
            <v:imagedata r:id="rId33" o:title=""/>
            <o:lock v:ext="edit" aspectratio="t"/>
            <w10:wrap type="none"/>
            <w10:anchorlock/>
          </v:shape>
        </w:pict>
      </w:r>
      <w:r>
        <w:t xml:space="preserve"> </w:t>
      </w:r>
    </w:p>
    <w:p>
      <w:pPr>
        <w:pStyle w:val="3"/>
        <w:numPr>
          <w:ilvl w:val="1"/>
          <w:numId w:val="0"/>
        </w:numPr>
        <w:rPr>
          <w:rFonts w:ascii="宋体" w:hAnsi="宋体" w:cs="宋体"/>
          <w:sz w:val="24"/>
          <w:szCs w:val="24"/>
        </w:rPr>
      </w:pPr>
      <w:bookmarkStart w:id="19" w:name="_Toc17719415"/>
      <w:r>
        <w:rPr>
          <w:rFonts w:hint="eastAsia" w:ascii="宋体" w:hAnsi="宋体" w:cs="宋体"/>
          <w:sz w:val="24"/>
          <w:szCs w:val="24"/>
        </w:rPr>
        <w:t>3.3竞卖质疑</w:t>
      </w:r>
      <w:bookmarkEnd w:id="19"/>
    </w:p>
    <w:p>
      <w:pPr>
        <w:ind w:firstLine="480"/>
      </w:pPr>
      <w:r>
        <w:rPr>
          <w:rFonts w:hint="eastAsia"/>
        </w:rPr>
        <w:t>发布公告后，供应商可在质疑截止时间前对公告内容提出质疑，项目经办人应在答疑截止时间前及时回复供应商的问题，答疑时间截止后经办人不能回复。</w:t>
      </w:r>
    </w:p>
    <w:p>
      <w:pPr>
        <w:numPr>
          <w:ilvl w:val="0"/>
          <w:numId w:val="10"/>
        </w:numPr>
        <w:ind w:firstLineChars="0"/>
        <w:rPr>
          <w:b/>
        </w:rPr>
      </w:pPr>
      <w:r>
        <w:rPr>
          <w:rFonts w:hint="eastAsia"/>
        </w:rPr>
        <w:t>点击左侧菜单栏【竞卖答疑】进入答疑列表页后，点击【查看】进入答疑详情页。</w:t>
      </w:r>
    </w:p>
    <w:p>
      <w:pPr>
        <w:ind w:firstLine="480"/>
      </w:pPr>
    </w:p>
    <w:p>
      <w:pPr>
        <w:ind w:firstLine="480"/>
      </w:pPr>
      <w:r>
        <w:pict>
          <v:shape id="_x0000_i1047" o:spt="75" type="#_x0000_t75" style="height:131.75pt;width:475.45pt;" filled="f" o:preferrelative="t" stroked="f" coordsize="21600,21600">
            <v:path/>
            <v:fill on="f" focussize="0,0"/>
            <v:stroke on="f" joinstyle="miter"/>
            <v:imagedata r:id="rId34" cropbottom="11401f" o:title=""/>
            <o:lock v:ext="edit" aspectratio="t"/>
            <w10:wrap type="none"/>
            <w10:anchorlock/>
          </v:shape>
        </w:pict>
      </w:r>
    </w:p>
    <w:p>
      <w:pPr>
        <w:numPr>
          <w:ilvl w:val="0"/>
          <w:numId w:val="10"/>
        </w:numPr>
        <w:ind w:firstLineChars="0"/>
        <w:rPr>
          <w:rFonts w:ascii="宋体" w:hAnsi="宋体" w:cs="宋体"/>
          <w:szCs w:val="24"/>
        </w:rPr>
      </w:pPr>
      <w:r>
        <w:rPr>
          <w:rFonts w:hint="eastAsia"/>
        </w:rPr>
        <w:t>在答疑详情页中，选择供应商提出的质疑信息点击【答疑】进入答疑信息页面。</w:t>
      </w:r>
    </w:p>
    <w:p>
      <w:pPr>
        <w:ind w:left="360" w:firstLine="480"/>
      </w:pPr>
      <w:r>
        <w:pict>
          <v:shape id="_x0000_i1048" o:spt="75" type="#_x0000_t75" style="height:141.95pt;width:460.55pt;" filled="f" o:preferrelative="t" stroked="f" coordsize="21600,21600">
            <v:path/>
            <v:fill on="f" focussize="0,0"/>
            <v:stroke on="f" joinstyle="miter"/>
            <v:imagedata r:id="rId35" o:title=""/>
            <o:lock v:ext="edit" aspectratio="t"/>
            <w10:wrap type="none"/>
            <w10:anchorlock/>
          </v:shape>
        </w:pict>
      </w:r>
      <w:r>
        <w:t xml:space="preserve"> </w:t>
      </w:r>
    </w:p>
    <w:p>
      <w:pPr>
        <w:numPr>
          <w:ilvl w:val="0"/>
          <w:numId w:val="10"/>
        </w:numPr>
        <w:ind w:firstLineChars="0"/>
        <w:rPr>
          <w:rFonts w:ascii="宋体" w:hAnsi="宋体" w:cs="宋体"/>
          <w:szCs w:val="24"/>
        </w:rPr>
      </w:pPr>
      <w:r>
        <w:rPr>
          <w:rFonts w:hint="eastAsia"/>
        </w:rPr>
        <w:t>在答疑信息页面中，针对供应商的质疑内容进行回复，填写完答疑内容后，可根据情况需要上传附件或不上传附件说明，信息确认无误后点击【提交答疑】即完成对供应商质疑的回复。</w:t>
      </w:r>
    </w:p>
    <w:p>
      <w:pPr>
        <w:ind w:left="360" w:firstLine="480"/>
      </w:pPr>
      <w:r>
        <w:pict>
          <v:shape id="_x0000_i1049" o:spt="75" type="#_x0000_t75" style="height:237.75pt;width:470.7pt;" filled="f" o:preferrelative="t" stroked="f" coordsize="21600,21600">
            <v:path/>
            <v:fill on="f" focussize="0,0"/>
            <v:stroke on="f" joinstyle="miter"/>
            <v:imagedata r:id="rId36" o:title=""/>
            <o:lock v:ext="edit" aspectratio="t"/>
            <w10:wrap type="none"/>
            <w10:anchorlock/>
          </v:shape>
        </w:pict>
      </w:r>
    </w:p>
    <w:p>
      <w:pPr>
        <w:pStyle w:val="3"/>
        <w:numPr>
          <w:ilvl w:val="1"/>
          <w:numId w:val="0"/>
        </w:numPr>
        <w:rPr>
          <w:rFonts w:ascii="宋体" w:hAnsi="宋体" w:cs="宋体"/>
          <w:sz w:val="24"/>
          <w:szCs w:val="24"/>
        </w:rPr>
      </w:pPr>
      <w:bookmarkStart w:id="20" w:name="_Toc17719416"/>
      <w:r>
        <w:rPr>
          <w:rFonts w:hint="eastAsia" w:ascii="宋体" w:hAnsi="宋体" w:cs="宋体"/>
          <w:sz w:val="24"/>
          <w:szCs w:val="24"/>
        </w:rPr>
        <w:t>3.</w:t>
      </w:r>
      <w:r>
        <w:rPr>
          <w:rFonts w:ascii="宋体" w:hAnsi="宋体" w:cs="宋体"/>
          <w:sz w:val="24"/>
          <w:szCs w:val="24"/>
        </w:rPr>
        <w:t>4</w:t>
      </w:r>
      <w:r>
        <w:rPr>
          <w:rFonts w:hint="eastAsia" w:ascii="宋体" w:hAnsi="宋体" w:cs="宋体"/>
          <w:sz w:val="24"/>
          <w:szCs w:val="24"/>
        </w:rPr>
        <w:t>保证金缴纳情况</w:t>
      </w:r>
      <w:bookmarkEnd w:id="20"/>
    </w:p>
    <w:p>
      <w:pPr>
        <w:ind w:firstLine="480"/>
      </w:pPr>
      <w:r>
        <w:rPr>
          <w:rFonts w:hint="eastAsia"/>
        </w:rPr>
        <w:t>竞卖人可在【保证金缴纳情况】节点中查看已缴纳保证金的供应商家数，及缴纳详细情况。</w:t>
      </w:r>
    </w:p>
    <w:p>
      <w:pPr>
        <w:numPr>
          <w:ilvl w:val="0"/>
          <w:numId w:val="11"/>
        </w:numPr>
        <w:ind w:firstLineChars="0"/>
        <w:rPr>
          <w:rFonts w:ascii="宋体" w:hAnsi="宋体" w:cs="宋体"/>
          <w:szCs w:val="24"/>
        </w:rPr>
      </w:pPr>
      <w:r>
        <w:rPr>
          <w:rFonts w:hint="eastAsia"/>
        </w:rPr>
        <w:t>点击左侧菜单栏【保证金缴纳情况】进入“保证金缴纳情况”列表页后，选择对应项目，点击【查看人数】可查看已缴纳保证金的供应商家数。</w:t>
      </w:r>
    </w:p>
    <w:p>
      <w:pPr>
        <w:ind w:firstLine="480"/>
      </w:pPr>
      <w:r>
        <w:pict>
          <v:shape id="_x0000_i1050" o:spt="75" type="#_x0000_t75" style="height:197pt;width:504pt;" filled="f" o:preferrelative="t" stroked="f" coordsize="21600,21600">
            <v:path/>
            <v:fill on="f" focussize="0,0"/>
            <v:stroke on="f" joinstyle="miter"/>
            <v:imagedata r:id="rId37" o:title=""/>
            <o:lock v:ext="edit" aspectratio="t"/>
            <w10:wrap type="none"/>
            <w10:anchorlock/>
          </v:shape>
        </w:pict>
      </w:r>
    </w:p>
    <w:p>
      <w:pPr>
        <w:numPr>
          <w:ilvl w:val="0"/>
          <w:numId w:val="11"/>
        </w:numPr>
        <w:ind w:firstLineChars="0"/>
        <w:rPr>
          <w:rFonts w:ascii="宋体" w:hAnsi="宋体" w:cs="宋体"/>
          <w:szCs w:val="24"/>
        </w:rPr>
      </w:pPr>
      <w:r>
        <w:rPr>
          <w:rFonts w:hint="eastAsia"/>
        </w:rPr>
        <w:t>点击【查看详情】进入“保证金缴纳情况详情”页面后，便可查看保证金缴纳详细情况。</w:t>
      </w:r>
    </w:p>
    <w:p>
      <w:pPr>
        <w:ind w:left="400" w:firstLine="0" w:firstLineChars="0"/>
      </w:pPr>
      <w:r>
        <w:pict>
          <v:shape id="_x0000_i1051" o:spt="75" type="#_x0000_t75" style="height:155.55pt;width:504.7pt;" filled="f" o:preferrelative="t" stroked="f" coordsize="21600,21600">
            <v:path/>
            <v:fill on="f" focussize="0,0"/>
            <v:stroke on="f" joinstyle="miter"/>
            <v:imagedata r:id="rId38" o:title=""/>
            <o:lock v:ext="edit" aspectratio="t"/>
            <w10:wrap type="none"/>
            <w10:anchorlock/>
          </v:shape>
        </w:pict>
      </w:r>
    </w:p>
    <w:p>
      <w:pPr>
        <w:pStyle w:val="3"/>
        <w:numPr>
          <w:ilvl w:val="1"/>
          <w:numId w:val="0"/>
        </w:numPr>
        <w:rPr>
          <w:rFonts w:ascii="宋体" w:hAnsi="宋体" w:cs="宋体"/>
          <w:sz w:val="24"/>
          <w:szCs w:val="24"/>
        </w:rPr>
      </w:pPr>
      <w:bookmarkStart w:id="21" w:name="_Toc17719417"/>
      <w:r>
        <w:rPr>
          <w:rFonts w:hint="eastAsia" w:ascii="宋体" w:hAnsi="宋体" w:cs="宋体"/>
          <w:sz w:val="24"/>
          <w:szCs w:val="24"/>
        </w:rPr>
        <w:t>3.</w:t>
      </w:r>
      <w:r>
        <w:rPr>
          <w:rFonts w:ascii="宋体" w:hAnsi="宋体" w:cs="宋体"/>
          <w:sz w:val="24"/>
          <w:szCs w:val="24"/>
        </w:rPr>
        <w:t>5</w:t>
      </w:r>
      <w:r>
        <w:rPr>
          <w:rFonts w:hint="eastAsia" w:ascii="宋体" w:hAnsi="宋体" w:cs="宋体"/>
          <w:sz w:val="24"/>
          <w:szCs w:val="24"/>
        </w:rPr>
        <w:t>平台服务费缴纳情况</w:t>
      </w:r>
      <w:bookmarkEnd w:id="21"/>
    </w:p>
    <w:p>
      <w:pPr>
        <w:ind w:firstLine="480"/>
      </w:pPr>
      <w:r>
        <w:rPr>
          <w:rFonts w:hint="eastAsia"/>
        </w:rPr>
        <w:t>竞卖人可在【平台服务费缴纳情况】节点中查看已缴纳保证金的供应商家数，及缴纳详细情况。</w:t>
      </w:r>
    </w:p>
    <w:p>
      <w:pPr>
        <w:numPr>
          <w:ilvl w:val="0"/>
          <w:numId w:val="12"/>
        </w:numPr>
        <w:ind w:firstLineChars="0"/>
        <w:rPr>
          <w:rFonts w:ascii="宋体" w:hAnsi="宋体" w:cs="宋体"/>
          <w:szCs w:val="24"/>
        </w:rPr>
      </w:pPr>
      <w:r>
        <w:rPr>
          <w:rFonts w:hint="eastAsia"/>
        </w:rPr>
        <w:t>点击左侧菜单栏【平台服务费缴纳情况】进入“查看平台服务费缴纳情况”列表页后，选择对应项目，点击【查看人数】可查看已缴纳平台服务费供应商家数。</w:t>
      </w:r>
    </w:p>
    <w:p>
      <w:pPr>
        <w:ind w:firstLine="480"/>
      </w:pPr>
      <w:r>
        <w:pict>
          <v:shape id="_x0000_i1052" o:spt="75" type="#_x0000_t75" style="height:208.55pt;width:470.7pt;" filled="f" o:preferrelative="t" stroked="f" coordsize="21600,21600">
            <v:path/>
            <v:fill on="f" focussize="0,0"/>
            <v:stroke on="f" joinstyle="miter"/>
            <v:imagedata r:id="rId39" croptop="1809f" cropbottom="2169f" o:title=""/>
            <o:lock v:ext="edit" aspectratio="t"/>
            <w10:wrap type="none"/>
            <w10:anchorlock/>
          </v:shape>
        </w:pict>
      </w:r>
    </w:p>
    <w:p>
      <w:pPr>
        <w:numPr>
          <w:ilvl w:val="0"/>
          <w:numId w:val="12"/>
        </w:numPr>
        <w:ind w:firstLineChars="0"/>
        <w:rPr>
          <w:rFonts w:ascii="宋体" w:hAnsi="宋体" w:cs="宋体"/>
          <w:szCs w:val="24"/>
        </w:rPr>
      </w:pPr>
      <w:r>
        <w:rPr>
          <w:rFonts w:hint="eastAsia"/>
        </w:rPr>
        <w:t>点击【查看详情】进入“平台服务费缴纳情况”页面后，便可查看平台服务费缴纳的详细情况。</w:t>
      </w:r>
    </w:p>
    <w:p>
      <w:pPr>
        <w:ind w:left="400" w:firstLine="0" w:firstLineChars="0"/>
      </w:pPr>
      <w:r>
        <w:pict>
          <v:shape id="_x0000_i1053" o:spt="75" type="#_x0000_t75" style="height:171.85pt;width:484.3pt;" filled="f" o:preferrelative="t" stroked="f" coordsize="21600,21600">
            <v:path/>
            <v:fill on="f" focussize="0,0"/>
            <v:stroke on="f" joinstyle="miter"/>
            <v:imagedata r:id="rId40" o:title=""/>
            <o:lock v:ext="edit" aspectratio="t"/>
            <w10:wrap type="none"/>
            <w10:anchorlock/>
          </v:shape>
        </w:pict>
      </w:r>
    </w:p>
    <w:p>
      <w:pPr>
        <w:pStyle w:val="3"/>
        <w:numPr>
          <w:ilvl w:val="1"/>
          <w:numId w:val="0"/>
        </w:numPr>
        <w:rPr>
          <w:rFonts w:ascii="宋体" w:hAnsi="宋体" w:cs="宋体"/>
          <w:sz w:val="24"/>
          <w:szCs w:val="24"/>
        </w:rPr>
      </w:pPr>
      <w:bookmarkStart w:id="22" w:name="_Toc17719418"/>
      <w:r>
        <w:rPr>
          <w:rFonts w:hint="eastAsia" w:ascii="宋体" w:hAnsi="宋体" w:cs="宋体"/>
          <w:sz w:val="24"/>
          <w:szCs w:val="24"/>
        </w:rPr>
        <w:t>3.</w:t>
      </w:r>
      <w:r>
        <w:rPr>
          <w:rFonts w:ascii="宋体" w:hAnsi="宋体" w:cs="宋体"/>
          <w:sz w:val="24"/>
          <w:szCs w:val="24"/>
        </w:rPr>
        <w:t>6</w:t>
      </w:r>
      <w:r>
        <w:rPr>
          <w:rFonts w:hint="eastAsia" w:ascii="宋体" w:hAnsi="宋体" w:cs="宋体"/>
          <w:sz w:val="24"/>
          <w:szCs w:val="24"/>
        </w:rPr>
        <w:t>资质文件审核</w:t>
      </w:r>
      <w:bookmarkEnd w:id="22"/>
    </w:p>
    <w:p>
      <w:pPr>
        <w:ind w:firstLine="480"/>
      </w:pPr>
      <w:r>
        <w:rPr>
          <w:rFonts w:hint="eastAsia"/>
        </w:rPr>
        <w:t>若要求竞买人提交资质文件，竞买人在提交竞价文件后，竞卖人需在【资质文件审核】节点中完成资质文件审核。</w:t>
      </w:r>
    </w:p>
    <w:p>
      <w:pPr>
        <w:numPr>
          <w:ilvl w:val="0"/>
          <w:numId w:val="13"/>
        </w:numPr>
        <w:ind w:firstLine="480"/>
      </w:pPr>
      <w:r>
        <w:rPr>
          <w:rFonts w:hint="eastAsia"/>
        </w:rPr>
        <w:t>点击左侧菜单栏【资质文件审核】进入“资质文件审核”列表页，点击【受理】确认受理后，进入“资质文件审核”详情页。</w:t>
      </w:r>
    </w:p>
    <w:p>
      <w:pPr>
        <w:snapToGrid w:val="0"/>
        <w:ind w:firstLine="0" w:firstLineChars="0"/>
        <w:jc w:val="left"/>
      </w:pPr>
      <w:r>
        <w:pict>
          <v:shape id="_x0000_i1054" o:spt="75" type="#_x0000_t75" style="height:179.3pt;width:504.7pt;" filled="f" o:preferrelative="t" stroked="f" coordsize="21600,21600">
            <v:path/>
            <v:fill on="f" focussize="0,0"/>
            <v:stroke on="f" joinstyle="miter"/>
            <v:imagedata r:id="rId41" o:title=""/>
            <o:lock v:ext="edit" aspectratio="t"/>
            <w10:wrap type="none"/>
            <w10:anchorlock/>
          </v:shape>
        </w:pict>
      </w:r>
    </w:p>
    <w:p>
      <w:pPr>
        <w:numPr>
          <w:ilvl w:val="0"/>
          <w:numId w:val="13"/>
        </w:numPr>
        <w:ind w:firstLine="480"/>
      </w:pPr>
      <w:r>
        <w:rPr>
          <w:rFonts w:hint="eastAsia"/>
        </w:rPr>
        <w:t>在“竞买文件审核”详细页面中，查看竞买人递交的竞买文件，确认后勾选审核状态“合格”，并点击【审核】完成竞买文件的审核；若竞买人递交的竞价文件不符合要求，可选择“驳回”返回给竞买人，由竞买人重新编辑修改后再提交审核；也可选择不合格，不再接受该竞买人递交的竞买文件。</w:t>
      </w:r>
    </w:p>
    <w:p>
      <w:pPr>
        <w:snapToGrid w:val="0"/>
        <w:ind w:firstLine="0" w:firstLineChars="0"/>
        <w:jc w:val="center"/>
      </w:pPr>
      <w:r>
        <w:pict>
          <v:shape id="_x0000_i1055" o:spt="75" type="#_x0000_t75" style="height:182.7pt;width:504.7pt;" filled="f" o:preferrelative="t" stroked="f" coordsize="21600,21600">
            <v:path/>
            <v:fill on="f" focussize="0,0"/>
            <v:stroke on="f" joinstyle="miter"/>
            <v:imagedata r:id="rId42" o:title=""/>
            <o:lock v:ext="edit" aspectratio="t"/>
            <w10:wrap type="none"/>
            <w10:anchorlock/>
          </v:shape>
        </w:pict>
      </w:r>
    </w:p>
    <w:p>
      <w:pPr>
        <w:pStyle w:val="3"/>
        <w:numPr>
          <w:ilvl w:val="1"/>
          <w:numId w:val="0"/>
        </w:numPr>
        <w:rPr>
          <w:rFonts w:ascii="宋体" w:hAnsi="宋体" w:cs="宋体"/>
          <w:sz w:val="24"/>
          <w:szCs w:val="24"/>
        </w:rPr>
      </w:pPr>
      <w:bookmarkStart w:id="23" w:name="_Toc17719419"/>
      <w:r>
        <w:rPr>
          <w:rFonts w:hint="eastAsia" w:ascii="宋体" w:hAnsi="宋体" w:cs="宋体"/>
          <w:sz w:val="24"/>
          <w:szCs w:val="24"/>
        </w:rPr>
        <w:t>3.</w:t>
      </w:r>
      <w:r>
        <w:rPr>
          <w:rFonts w:ascii="宋体" w:hAnsi="宋体" w:cs="宋体"/>
          <w:sz w:val="24"/>
          <w:szCs w:val="24"/>
        </w:rPr>
        <w:t>7</w:t>
      </w:r>
      <w:r>
        <w:rPr>
          <w:rFonts w:hint="eastAsia" w:ascii="宋体" w:hAnsi="宋体" w:cs="宋体"/>
          <w:sz w:val="24"/>
          <w:szCs w:val="24"/>
        </w:rPr>
        <w:t>查看报名情况</w:t>
      </w:r>
      <w:bookmarkEnd w:id="23"/>
    </w:p>
    <w:p>
      <w:pPr>
        <w:ind w:firstLine="480"/>
      </w:pPr>
      <w:r>
        <w:rPr>
          <w:rFonts w:hint="eastAsia"/>
        </w:rPr>
        <w:t>竞卖人可在【</w:t>
      </w:r>
      <w:r>
        <w:rPr>
          <w:rFonts w:hint="eastAsia" w:ascii="宋体" w:hAnsi="宋体" w:cs="宋体"/>
          <w:szCs w:val="24"/>
        </w:rPr>
        <w:t>查看报名情况</w:t>
      </w:r>
      <w:r>
        <w:rPr>
          <w:rFonts w:hint="eastAsia"/>
        </w:rPr>
        <w:t>】节点中查看已报名的竞买人家数和详细情况。</w:t>
      </w:r>
    </w:p>
    <w:p>
      <w:pPr>
        <w:numPr>
          <w:ilvl w:val="0"/>
          <w:numId w:val="14"/>
        </w:numPr>
        <w:ind w:firstLineChars="0"/>
        <w:rPr>
          <w:rFonts w:ascii="宋体" w:hAnsi="宋体" w:cs="宋体"/>
          <w:szCs w:val="24"/>
        </w:rPr>
      </w:pPr>
      <w:r>
        <w:rPr>
          <w:rFonts w:hint="eastAsia"/>
        </w:rPr>
        <w:t>点击左侧菜单栏【</w:t>
      </w:r>
      <w:r>
        <w:rPr>
          <w:rFonts w:hint="eastAsia" w:ascii="宋体" w:hAnsi="宋体" w:cs="宋体"/>
          <w:szCs w:val="24"/>
        </w:rPr>
        <w:t>查看报名情况</w:t>
      </w:r>
      <w:r>
        <w:rPr>
          <w:rFonts w:hint="eastAsia"/>
        </w:rPr>
        <w:t>】进入“</w:t>
      </w:r>
      <w:r>
        <w:rPr>
          <w:rFonts w:hint="eastAsia" w:ascii="宋体" w:hAnsi="宋体" w:cs="宋体"/>
          <w:szCs w:val="24"/>
        </w:rPr>
        <w:t>查看报名情况</w:t>
      </w:r>
      <w:r>
        <w:rPr>
          <w:rFonts w:hint="eastAsia"/>
        </w:rPr>
        <w:t>”列表页后，可在列表中查看报名人数。</w:t>
      </w:r>
    </w:p>
    <w:p>
      <w:pPr>
        <w:ind w:firstLine="199" w:firstLineChars="83"/>
      </w:pPr>
      <w:r>
        <w:pict>
          <v:shape id="_x0000_i1056" o:spt="75" type="#_x0000_t75" style="height:195.6pt;width:504.7pt;" filled="f" o:preferrelative="t" stroked="f" coordsize="21600,21600">
            <v:path/>
            <v:fill on="f" focussize="0,0"/>
            <v:stroke on="f" joinstyle="miter"/>
            <v:imagedata r:id="rId43" o:title=""/>
            <o:lock v:ext="edit" aspectratio="t"/>
            <w10:wrap type="none"/>
            <w10:anchorlock/>
          </v:shape>
        </w:pict>
      </w:r>
    </w:p>
    <w:p>
      <w:pPr>
        <w:numPr>
          <w:ilvl w:val="0"/>
          <w:numId w:val="14"/>
        </w:numPr>
        <w:ind w:firstLineChars="0"/>
        <w:rPr>
          <w:rFonts w:ascii="宋体" w:hAnsi="宋体" w:cs="宋体"/>
          <w:szCs w:val="24"/>
        </w:rPr>
      </w:pPr>
      <w:r>
        <w:rPr>
          <w:rFonts w:hint="eastAsia"/>
        </w:rPr>
        <w:t>点击【查看详情】进入“报名情况详情”页面后，便可查看报名详细情况。</w:t>
      </w:r>
    </w:p>
    <w:p>
      <w:pPr>
        <w:ind w:left="400" w:firstLine="0" w:firstLineChars="0"/>
      </w:pPr>
      <w:r>
        <w:pict>
          <v:shape id="_x0000_i1057" o:spt="75" type="#_x0000_t75" style="height:175.25pt;width:504.7pt;" filled="f" o:preferrelative="t" stroked="f" coordsize="21600,21600">
            <v:path/>
            <v:fill on="f" focussize="0,0"/>
            <v:stroke on="f" joinstyle="miter"/>
            <v:imagedata r:id="rId44" o:title=""/>
            <o:lock v:ext="edit" aspectratio="t"/>
            <w10:wrap type="none"/>
            <w10:anchorlock/>
          </v:shape>
        </w:pict>
      </w:r>
      <w:r>
        <w:t xml:space="preserve"> </w:t>
      </w:r>
      <w:r>
        <w:pict>
          <v:shape id="_x0000_i1058" o:spt="75" type="#_x0000_t75" style="height:183.4pt;width:504.7pt;" filled="f" o:preferrelative="t" stroked="f" coordsize="21600,21600">
            <v:path/>
            <v:fill on="f" focussize="0,0"/>
            <v:stroke on="f" joinstyle="miter"/>
            <v:imagedata r:id="rId45" o:title=""/>
            <o:lock v:ext="edit" aspectratio="t"/>
            <w10:wrap type="none"/>
            <w10:anchorlock/>
          </v:shape>
        </w:pict>
      </w:r>
    </w:p>
    <w:p>
      <w:pPr>
        <w:snapToGrid w:val="0"/>
        <w:ind w:firstLine="0" w:firstLineChars="0"/>
        <w:jc w:val="center"/>
      </w:pPr>
    </w:p>
    <w:p>
      <w:pPr>
        <w:pStyle w:val="3"/>
        <w:numPr>
          <w:ilvl w:val="1"/>
          <w:numId w:val="0"/>
        </w:numPr>
        <w:rPr>
          <w:rFonts w:ascii="宋体" w:hAnsi="宋体" w:cs="宋体"/>
          <w:sz w:val="24"/>
          <w:szCs w:val="24"/>
        </w:rPr>
      </w:pPr>
      <w:bookmarkStart w:id="24" w:name="_Toc17719420"/>
      <w:r>
        <w:rPr>
          <w:rFonts w:hint="eastAsia" w:ascii="宋体" w:hAnsi="宋体" w:cs="宋体"/>
          <w:sz w:val="24"/>
          <w:szCs w:val="24"/>
        </w:rPr>
        <w:t>3.</w:t>
      </w:r>
      <w:r>
        <w:rPr>
          <w:rFonts w:ascii="宋体" w:hAnsi="宋体" w:cs="宋体"/>
          <w:sz w:val="24"/>
          <w:szCs w:val="24"/>
        </w:rPr>
        <w:t>8</w:t>
      </w:r>
      <w:r>
        <w:rPr>
          <w:rFonts w:hint="eastAsia" w:ascii="宋体" w:hAnsi="宋体" w:cs="宋体"/>
          <w:sz w:val="24"/>
          <w:szCs w:val="24"/>
        </w:rPr>
        <w:t>竞卖情况</w:t>
      </w:r>
      <w:bookmarkEnd w:id="24"/>
    </w:p>
    <w:p>
      <w:pPr>
        <w:ind w:firstLine="480"/>
      </w:pPr>
      <w:r>
        <w:rPr>
          <w:rFonts w:hint="eastAsia"/>
        </w:rPr>
        <w:t>竞价开始时间之后，可查看竞买人竞价过程中的报价情况；竞价结束后，可查看竞买人历史竞价情况。</w:t>
      </w:r>
    </w:p>
    <w:p>
      <w:pPr>
        <w:ind w:firstLine="480"/>
      </w:pPr>
      <w:r>
        <w:rPr>
          <w:rFonts w:hint="eastAsia"/>
        </w:rPr>
        <w:t>竞价方式不同，所查看的竞价内容也不同。</w:t>
      </w:r>
    </w:p>
    <w:p>
      <w:pPr>
        <w:pStyle w:val="4"/>
        <w:numPr>
          <w:ilvl w:val="1"/>
          <w:numId w:val="0"/>
        </w:numPr>
        <w:rPr>
          <w:rFonts w:ascii="宋体" w:hAnsi="宋体" w:cs="宋体"/>
          <w:sz w:val="24"/>
          <w:szCs w:val="24"/>
        </w:rPr>
      </w:pPr>
      <w:bookmarkStart w:id="25" w:name="_Toc17719421"/>
      <w:r>
        <w:rPr>
          <w:rFonts w:hint="eastAsia" w:ascii="宋体" w:hAnsi="宋体" w:cs="宋体"/>
          <w:sz w:val="24"/>
          <w:szCs w:val="24"/>
        </w:rPr>
        <w:t>3.</w:t>
      </w:r>
      <w:r>
        <w:rPr>
          <w:rFonts w:ascii="宋体" w:hAnsi="宋体" w:cs="宋体"/>
          <w:sz w:val="24"/>
          <w:szCs w:val="24"/>
        </w:rPr>
        <w:t>8</w:t>
      </w:r>
      <w:r>
        <w:rPr>
          <w:rFonts w:hint="eastAsia" w:ascii="宋体" w:hAnsi="宋体" w:cs="宋体"/>
          <w:sz w:val="24"/>
          <w:szCs w:val="24"/>
        </w:rPr>
        <w:t>.1自由竞价-按包件</w:t>
      </w:r>
      <w:bookmarkEnd w:id="25"/>
    </w:p>
    <w:p>
      <w:pPr>
        <w:numPr>
          <w:ilvl w:val="0"/>
          <w:numId w:val="15"/>
        </w:numPr>
        <w:ind w:firstLine="480"/>
      </w:pPr>
      <w:r>
        <w:rPr>
          <w:rFonts w:hint="eastAsia"/>
        </w:rPr>
        <w:t>点击左侧菜单栏【查看竞卖情况】进入“竞卖情况”列表页，找到对应项目，点击【进入】按钮进入“竞卖报价”详情页面。</w:t>
      </w:r>
    </w:p>
    <w:p>
      <w:pPr>
        <w:ind w:firstLine="0" w:firstLineChars="0"/>
        <w:jc w:val="left"/>
      </w:pPr>
      <w:r>
        <w:pict>
          <v:shape id="_x0000_i1059" o:spt="75" type="#_x0000_t75" style="height:239.75pt;width:504.7pt;" filled="f" o:preferrelative="t" stroked="f" coordsize="21600,21600">
            <v:path/>
            <v:fill on="f" focussize="0,0"/>
            <v:stroke on="f" joinstyle="miter"/>
            <v:imagedata r:id="rId46" o:title=""/>
            <o:lock v:ext="edit" aspectratio="t"/>
            <w10:wrap type="none"/>
            <w10:anchorlock/>
          </v:shape>
        </w:pict>
      </w:r>
    </w:p>
    <w:p>
      <w:pPr>
        <w:numPr>
          <w:ilvl w:val="0"/>
          <w:numId w:val="15"/>
        </w:numPr>
        <w:ind w:firstLine="480"/>
      </w:pPr>
      <w:r>
        <w:rPr>
          <w:rFonts w:hint="eastAsia"/>
        </w:rPr>
        <w:t>在“竞卖报价”详情页面中，竞买人报价后，竞卖人可查看参与竞价人数、竞价详细情况。</w:t>
      </w:r>
    </w:p>
    <w:p>
      <w:pPr>
        <w:ind w:firstLine="0" w:firstLineChars="0"/>
        <w:jc w:val="left"/>
      </w:pPr>
      <w:r>
        <w:pict>
          <v:shape id="_x0000_i1060" o:spt="75" type="#_x0000_t75" style="height:360.7pt;width:504pt;" filled="f" o:preferrelative="t" stroked="f" coordsize="21600,21600">
            <v:path/>
            <v:fill on="f" focussize="0,0"/>
            <v:stroke on="f" joinstyle="miter"/>
            <v:imagedata r:id="rId47" o:title=""/>
            <o:lock v:ext="edit" aspectratio="t"/>
            <w10:wrap type="none"/>
            <w10:anchorlock/>
          </v:shape>
        </w:pict>
      </w:r>
    </w:p>
    <w:p>
      <w:pPr>
        <w:numPr>
          <w:ilvl w:val="0"/>
          <w:numId w:val="15"/>
        </w:numPr>
        <w:ind w:firstLineChars="0"/>
      </w:pPr>
      <w:r>
        <w:rPr>
          <w:rFonts w:hint="eastAsia"/>
        </w:rPr>
        <w:t>竞价结束后，在</w:t>
      </w:r>
      <w:r>
        <w:rPr>
          <w:rFonts w:hint="eastAsia" w:ascii="宋体" w:hAnsi="宋体" w:cs="宋体"/>
          <w:szCs w:val="24"/>
        </w:rPr>
        <w:t>“查看竞价情况”列表页中，找到对应项目，点击【查看历史】进入“竞价采购历史详情”详情页面查看参与竞价供应商人数、名称和报价详情，并可导出对应的报价表，竞价结果确认无误后，点击【保存并发布】发布竞卖情况。</w:t>
      </w:r>
    </w:p>
    <w:p>
      <w:pPr>
        <w:ind w:firstLine="0" w:firstLineChars="0"/>
        <w:jc w:val="left"/>
      </w:pPr>
      <w:r>
        <w:pict>
          <v:shape id="_x0000_i1061" o:spt="75" type="#_x0000_t75" style="height:244.55pt;width:504.7pt;" filled="f" o:preferrelative="t" stroked="f" coordsize="21600,21600">
            <v:path/>
            <v:fill on="f" focussize="0,0"/>
            <v:stroke on="f" joinstyle="miter"/>
            <v:imagedata r:id="rId48" o:title=""/>
            <o:lock v:ext="edit" aspectratio="t"/>
            <w10:wrap type="none"/>
            <w10:anchorlock/>
          </v:shape>
        </w:pict>
      </w:r>
      <w:r>
        <w:t xml:space="preserve"> </w:t>
      </w:r>
      <w:r>
        <w:pict>
          <v:shape id="_x0000_i1062" o:spt="75" type="#_x0000_t75" style="height:247.9pt;width:504.7pt;" filled="f" o:preferrelative="t" stroked="f" coordsize="21600,21600">
            <v:path/>
            <v:fill on="f" focussize="0,0"/>
            <v:stroke on="f" joinstyle="miter"/>
            <v:imagedata r:id="rId49" o:title=""/>
            <o:lock v:ext="edit" aspectratio="t"/>
            <w10:wrap type="none"/>
            <w10:anchorlock/>
          </v:shape>
        </w:pict>
      </w:r>
    </w:p>
    <w:p>
      <w:pPr>
        <w:pStyle w:val="4"/>
        <w:numPr>
          <w:ilvl w:val="1"/>
          <w:numId w:val="0"/>
        </w:numPr>
        <w:rPr>
          <w:rFonts w:ascii="宋体" w:hAnsi="宋体" w:cs="宋体"/>
          <w:sz w:val="24"/>
          <w:szCs w:val="24"/>
        </w:rPr>
      </w:pPr>
      <w:bookmarkStart w:id="26" w:name="_Toc17719422"/>
      <w:r>
        <w:rPr>
          <w:rFonts w:hint="eastAsia" w:ascii="宋体" w:hAnsi="宋体" w:cs="宋体"/>
          <w:sz w:val="24"/>
          <w:szCs w:val="24"/>
        </w:rPr>
        <w:t>3.</w:t>
      </w:r>
      <w:r>
        <w:rPr>
          <w:rFonts w:ascii="宋体" w:hAnsi="宋体" w:cs="宋体"/>
          <w:sz w:val="24"/>
          <w:szCs w:val="24"/>
        </w:rPr>
        <w:t>8</w:t>
      </w:r>
      <w:r>
        <w:rPr>
          <w:rFonts w:hint="eastAsia" w:ascii="宋体" w:hAnsi="宋体" w:cs="宋体"/>
          <w:sz w:val="24"/>
          <w:szCs w:val="24"/>
        </w:rPr>
        <w:t>.2自由竞价-按明细</w:t>
      </w:r>
      <w:bookmarkEnd w:id="26"/>
    </w:p>
    <w:p>
      <w:pPr>
        <w:numPr>
          <w:ilvl w:val="0"/>
          <w:numId w:val="16"/>
        </w:numPr>
        <w:ind w:firstLineChars="0"/>
      </w:pPr>
      <w:r>
        <w:rPr>
          <w:rFonts w:hint="eastAsia"/>
        </w:rPr>
        <w:t>点击左侧菜单栏【查看竞卖情况】进入“竞卖情况”列表页，找到对应项目，点击【进入】按钮进入“竞卖报价”详情页面。</w:t>
      </w:r>
    </w:p>
    <w:p>
      <w:pPr>
        <w:ind w:firstLine="0" w:firstLineChars="0"/>
        <w:jc w:val="left"/>
      </w:pPr>
      <w:r>
        <w:pict>
          <v:shape id="_x0000_i1063" o:spt="75" type="#_x0000_t75" style="height:239.75pt;width:504.7pt;" filled="f" o:preferrelative="t" stroked="f" coordsize="21600,21600">
            <v:path/>
            <v:fill on="f" focussize="0,0"/>
            <v:stroke on="f" joinstyle="miter"/>
            <v:imagedata r:id="rId46" o:title=""/>
            <o:lock v:ext="edit" aspectratio="t"/>
            <w10:wrap type="none"/>
            <w10:anchorlock/>
          </v:shape>
        </w:pict>
      </w:r>
    </w:p>
    <w:p>
      <w:pPr>
        <w:numPr>
          <w:ilvl w:val="0"/>
          <w:numId w:val="16"/>
        </w:numPr>
        <w:ind w:firstLine="480"/>
      </w:pPr>
      <w:r>
        <w:rPr>
          <w:rFonts w:hint="eastAsia" w:ascii="宋体" w:hAnsi="宋体" w:cs="宋体"/>
          <w:szCs w:val="24"/>
        </w:rPr>
        <w:t>在“竞价采购报价”详情页面中可查看竞价详细情况，可设置“是否显示竞买者”，可变更竞价截止时间延长此次竞价时长。</w:t>
      </w:r>
    </w:p>
    <w:p>
      <w:pPr>
        <w:ind w:firstLine="0" w:firstLineChars="0"/>
        <w:jc w:val="left"/>
      </w:pPr>
      <w:r>
        <w:pict>
          <v:shape id="_x0000_i1064" o:spt="75" type="#_x0000_t75" style="height:138.55pt;width:504.7pt;" filled="f" o:preferrelative="t" stroked="f" coordsize="21600,21600">
            <v:path/>
            <v:fill on="f" focussize="0,0"/>
            <v:stroke on="f" joinstyle="miter"/>
            <v:imagedata r:id="rId50" croptop="7331f" o:title=""/>
            <o:lock v:ext="edit" aspectratio="t"/>
            <w10:wrap type="none"/>
            <w10:anchorlock/>
          </v:shape>
        </w:pict>
      </w:r>
    </w:p>
    <w:p>
      <w:pPr>
        <w:numPr>
          <w:ilvl w:val="0"/>
          <w:numId w:val="16"/>
        </w:numPr>
        <w:ind w:firstLineChars="0"/>
      </w:pPr>
      <w:r>
        <w:rPr>
          <w:rFonts w:hint="eastAsia"/>
        </w:rPr>
        <w:t>竞价结束后，在</w:t>
      </w:r>
      <w:r>
        <w:rPr>
          <w:rFonts w:hint="eastAsia" w:ascii="宋体" w:hAnsi="宋体" w:cs="宋体"/>
          <w:szCs w:val="24"/>
        </w:rPr>
        <w:t>“查看竞价情况”列表页中，找到对应项目，点击【查看历史】进入“竞价采购历史详情”详情页面查看参与竞价竞买人数、名称和报价详情，并可导出对应的报价表，竞价结果确认无误后，点击【保存并发布】发布竞卖情况。</w:t>
      </w:r>
    </w:p>
    <w:p>
      <w:pPr>
        <w:ind w:firstLine="0" w:firstLineChars="0"/>
        <w:jc w:val="left"/>
      </w:pPr>
      <w:r>
        <w:pict>
          <v:shape id="_x0000_i1065" o:spt="75" type="#_x0000_t75" style="height:244.55pt;width:504.7pt;" filled="f" o:preferrelative="t" stroked="f" coordsize="21600,21600">
            <v:path/>
            <v:fill on="f" focussize="0,0"/>
            <v:stroke on="f" joinstyle="miter"/>
            <v:imagedata r:id="rId48" o:title=""/>
            <o:lock v:ext="edit" aspectratio="t"/>
            <w10:wrap type="none"/>
            <w10:anchorlock/>
          </v:shape>
        </w:pict>
      </w:r>
      <w:r>
        <w:t xml:space="preserve"> </w:t>
      </w:r>
      <w:r>
        <w:pict>
          <v:shape id="_x0000_i1066" o:spt="75" type="#_x0000_t75" style="height:244.55pt;width:491.75pt;" filled="f" o:preferrelative="t" stroked="f" coordsize="21600,21600">
            <v:path/>
            <v:fill on="f" focussize="0,0"/>
            <v:stroke on="f" joinstyle="miter"/>
            <v:imagedata r:id="rId51" cropbottom="21785f" o:title="1"/>
            <o:lock v:ext="edit" aspectratio="t"/>
            <w10:wrap type="none"/>
            <w10:anchorlock/>
          </v:shape>
        </w:pict>
      </w:r>
    </w:p>
    <w:p>
      <w:pPr>
        <w:pStyle w:val="4"/>
        <w:numPr>
          <w:ilvl w:val="1"/>
          <w:numId w:val="0"/>
        </w:numPr>
        <w:rPr>
          <w:rFonts w:ascii="宋体" w:hAnsi="宋体" w:cs="宋体"/>
          <w:sz w:val="24"/>
          <w:szCs w:val="24"/>
        </w:rPr>
      </w:pPr>
      <w:bookmarkStart w:id="27" w:name="_Toc17719423"/>
      <w:r>
        <w:rPr>
          <w:rFonts w:ascii="宋体" w:hAnsi="宋体" w:cs="宋体"/>
          <w:sz w:val="24"/>
          <w:szCs w:val="24"/>
        </w:rPr>
        <w:t>3.8.3</w:t>
      </w:r>
      <w:r>
        <w:rPr>
          <w:rFonts w:hint="eastAsia" w:ascii="宋体" w:hAnsi="宋体" w:cs="宋体"/>
          <w:sz w:val="24"/>
          <w:szCs w:val="24"/>
        </w:rPr>
        <w:t>单轮竞价-按包件</w:t>
      </w:r>
      <w:bookmarkEnd w:id="27"/>
    </w:p>
    <w:p>
      <w:pPr>
        <w:numPr>
          <w:ilvl w:val="0"/>
          <w:numId w:val="17"/>
        </w:numPr>
        <w:ind w:firstLine="480"/>
      </w:pPr>
      <w:r>
        <w:rPr>
          <w:rFonts w:hint="eastAsia" w:ascii="宋体" w:hAnsi="宋体" w:cs="宋体"/>
          <w:szCs w:val="24"/>
        </w:rPr>
        <w:t>点击左侧菜单栏【查看竞卖情况】打开“查看竞价情况”列表页，找到对应项目，点击【进入】按钮进入“竞价采购报价”详情页面。</w:t>
      </w:r>
    </w:p>
    <w:p>
      <w:pPr>
        <w:ind w:left="480" w:leftChars="200" w:firstLine="0" w:firstLineChars="0"/>
      </w:pPr>
      <w:r>
        <w:pict>
          <v:shape id="_x0000_i1067" o:spt="75" type="#_x0000_t75" style="height:239.1pt;width:504.7pt;" filled="f" o:preferrelative="t" stroked="f" coordsize="21600,21600">
            <v:path/>
            <v:fill on="f" focussize="0,0"/>
            <v:stroke on="f" joinstyle="miter"/>
            <v:imagedata r:id="rId52" o:title=""/>
            <o:lock v:ext="edit" aspectratio="t"/>
            <w10:wrap type="none"/>
            <w10:anchorlock/>
          </v:shape>
        </w:pict>
      </w:r>
    </w:p>
    <w:p>
      <w:pPr>
        <w:numPr>
          <w:ilvl w:val="0"/>
          <w:numId w:val="18"/>
        </w:numPr>
        <w:ind w:firstLine="480"/>
      </w:pPr>
      <w:r>
        <w:rPr>
          <w:rFonts w:hint="eastAsia" w:ascii="宋体" w:hAnsi="宋体" w:cs="宋体"/>
          <w:szCs w:val="24"/>
        </w:rPr>
        <w:t>在“竞卖报价”详情页面中，供应商报价后，采购人可查看参与竞价人数、竞价详细情况。</w:t>
      </w:r>
    </w:p>
    <w:p>
      <w:pPr>
        <w:ind w:firstLine="480"/>
        <w:jc w:val="center"/>
      </w:pPr>
      <w:r>
        <w:pict>
          <v:shape id="_x0000_i1068" o:spt="75" type="#_x0000_t75" style="height:319.9pt;width:474.8pt;" filled="f" o:preferrelative="t" stroked="f" coordsize="21600,21600">
            <v:path/>
            <v:fill on="f" focussize="0,0"/>
            <v:stroke on="f" joinstyle="miter"/>
            <v:imagedata r:id="rId53" o:title=""/>
            <o:lock v:ext="edit" aspectratio="t"/>
            <w10:wrap type="none"/>
            <w10:anchorlock/>
          </v:shape>
        </w:pict>
      </w:r>
    </w:p>
    <w:p>
      <w:pPr>
        <w:numPr>
          <w:ilvl w:val="0"/>
          <w:numId w:val="19"/>
        </w:numPr>
        <w:ind w:firstLine="480"/>
      </w:pPr>
      <w:r>
        <w:rPr>
          <w:rFonts w:hint="eastAsia"/>
        </w:rPr>
        <w:t>竞价结束后，在</w:t>
      </w:r>
      <w:r>
        <w:rPr>
          <w:rFonts w:hint="eastAsia" w:ascii="宋体" w:hAnsi="宋体" w:cs="宋体"/>
          <w:szCs w:val="24"/>
        </w:rPr>
        <w:t>“查看竞卖情况”列表页中，找到对应项目，点击【查看历史】进入“竞价采购历史详情”详情页面。</w:t>
      </w:r>
    </w:p>
    <w:p>
      <w:pPr>
        <w:ind w:firstLine="480"/>
      </w:pPr>
      <w:r>
        <w:pict>
          <v:shape id="_x0000_i1069" o:spt="75" type="#_x0000_t75" style="height:228.25pt;width:482.95pt;" filled="f" o:preferrelative="t" stroked="f" coordsize="21600,21600">
            <v:path/>
            <v:fill on="f" focussize="0,0"/>
            <v:stroke on="f" joinstyle="miter"/>
            <v:imagedata r:id="rId54" o:title=""/>
            <o:lock v:ext="edit" aspectratio="t"/>
            <w10:wrap type="none"/>
            <w10:anchorlock/>
          </v:shape>
        </w:pict>
      </w:r>
    </w:p>
    <w:p>
      <w:pPr>
        <w:numPr>
          <w:ilvl w:val="0"/>
          <w:numId w:val="19"/>
        </w:numPr>
        <w:ind w:firstLine="480"/>
        <w:rPr>
          <w:rFonts w:ascii="宋体" w:hAnsi="宋体" w:cs="宋体"/>
          <w:szCs w:val="24"/>
        </w:rPr>
      </w:pPr>
      <w:r>
        <w:rPr>
          <w:rFonts w:hint="eastAsia" w:ascii="宋体" w:hAnsi="宋体" w:cs="宋体"/>
          <w:szCs w:val="24"/>
        </w:rPr>
        <w:t>在“竞价采购历史详情”详情页面中，可查看参与竞价供应商人数、名称和报价详情，并可导出对应的报价表，竞价结果确认无误后，点击【保存并发布】，如图37所示。</w:t>
      </w:r>
    </w:p>
    <w:p>
      <w:pPr>
        <w:ind w:firstLine="480"/>
      </w:pPr>
      <w:r>
        <w:pict>
          <v:shape id="_x0000_i1070" o:spt="75" type="#_x0000_t75" style="height:333.5pt;width:504.7pt;" filled="f" o:preferrelative="t" stroked="f" coordsize="21600,21600">
            <v:path/>
            <v:fill on="f" focussize="0,0"/>
            <v:stroke on="f" joinstyle="miter"/>
            <v:imagedata r:id="rId55" o:title=""/>
            <o:lock v:ext="edit" aspectratio="t"/>
            <w10:wrap type="none"/>
            <w10:anchorlock/>
          </v:shape>
        </w:pict>
      </w:r>
    </w:p>
    <w:p>
      <w:pPr>
        <w:pStyle w:val="4"/>
        <w:numPr>
          <w:ilvl w:val="1"/>
          <w:numId w:val="0"/>
        </w:numPr>
        <w:rPr>
          <w:rFonts w:ascii="宋体" w:hAnsi="宋体" w:cs="宋体"/>
          <w:sz w:val="24"/>
          <w:szCs w:val="24"/>
        </w:rPr>
      </w:pPr>
      <w:bookmarkStart w:id="28" w:name="_Toc17719424"/>
      <w:r>
        <w:rPr>
          <w:rFonts w:ascii="宋体" w:hAnsi="宋体" w:cs="宋体"/>
          <w:sz w:val="24"/>
          <w:szCs w:val="24"/>
        </w:rPr>
        <w:t>3.8.4</w:t>
      </w:r>
      <w:r>
        <w:rPr>
          <w:rFonts w:hint="eastAsia" w:ascii="宋体" w:hAnsi="宋体" w:cs="宋体"/>
          <w:sz w:val="24"/>
          <w:szCs w:val="24"/>
        </w:rPr>
        <w:t>单轮竞价-按明细</w:t>
      </w:r>
      <w:bookmarkEnd w:id="28"/>
    </w:p>
    <w:p>
      <w:pPr>
        <w:numPr>
          <w:ilvl w:val="0"/>
          <w:numId w:val="20"/>
        </w:numPr>
        <w:ind w:firstLine="480"/>
      </w:pPr>
      <w:r>
        <w:rPr>
          <w:rFonts w:hint="eastAsia" w:ascii="宋体" w:hAnsi="宋体" w:cs="宋体"/>
          <w:szCs w:val="24"/>
        </w:rPr>
        <w:t>点击左侧菜单栏【查看竞卖情况】打开“查看竞价情况”列表页，找到对应项目，点击【进入】按钮进入“竞卖报价”详情页面。</w:t>
      </w:r>
    </w:p>
    <w:p>
      <w:pPr>
        <w:ind w:left="480" w:leftChars="200" w:firstLine="0" w:firstLineChars="0"/>
      </w:pPr>
      <w:r>
        <w:pict>
          <v:shape id="_x0000_i1071" o:spt="75" type="#_x0000_t75" style="height:233pt;width:504pt;" filled="f" o:preferrelative="t" stroked="f" coordsize="21600,21600">
            <v:path/>
            <v:fill on="f" focussize="0,0"/>
            <v:stroke on="f" joinstyle="miter"/>
            <v:imagedata r:id="rId56" o:title=""/>
            <o:lock v:ext="edit" aspectratio="t"/>
            <w10:wrap type="none"/>
            <w10:anchorlock/>
          </v:shape>
        </w:pict>
      </w:r>
    </w:p>
    <w:p>
      <w:pPr>
        <w:numPr>
          <w:ilvl w:val="0"/>
          <w:numId w:val="18"/>
        </w:numPr>
        <w:ind w:firstLine="480"/>
      </w:pPr>
      <w:r>
        <w:rPr>
          <w:rFonts w:hint="eastAsia" w:ascii="宋体" w:hAnsi="宋体" w:cs="宋体"/>
          <w:szCs w:val="24"/>
        </w:rPr>
        <w:t>在“竞卖报价”详情页面中，可查看竞价详细情况，可变更竞价截止时间延长此次竞价时长。</w:t>
      </w:r>
    </w:p>
    <w:p>
      <w:pPr>
        <w:ind w:left="480" w:firstLine="0" w:firstLineChars="0"/>
      </w:pPr>
      <w:r>
        <w:pict>
          <v:shape id="_x0000_i1072" o:spt="75" type="#_x0000_t75" style="height:158.25pt;width:491.1pt;" filled="f" o:preferrelative="t" stroked="f" coordsize="21600,21600">
            <v:path/>
            <v:fill on="f" focussize="0,0"/>
            <v:stroke on="f" joinstyle="miter"/>
            <v:imagedata r:id="rId57" croptop="6878f" o:title="单轮竞价，按明细，采1"/>
            <o:lock v:ext="edit" aspectratio="t"/>
            <w10:wrap type="none"/>
            <w10:anchorlock/>
          </v:shape>
        </w:pict>
      </w:r>
    </w:p>
    <w:p>
      <w:pPr>
        <w:numPr>
          <w:ilvl w:val="0"/>
          <w:numId w:val="18"/>
        </w:numPr>
        <w:ind w:firstLineChars="0"/>
      </w:pPr>
      <w:r>
        <w:rPr>
          <w:rFonts w:hint="eastAsia"/>
        </w:rPr>
        <w:t>竞价结束后，在</w:t>
      </w:r>
      <w:r>
        <w:rPr>
          <w:rFonts w:hint="eastAsia" w:ascii="宋体" w:hAnsi="宋体" w:cs="宋体"/>
          <w:szCs w:val="24"/>
        </w:rPr>
        <w:t>“查看竞价情况”列表页中，找到对应项目，点击【查看历史】进入“竞价历史详情”详情页面。</w:t>
      </w:r>
    </w:p>
    <w:p>
      <w:pPr>
        <w:ind w:firstLine="400" w:firstLineChars="0"/>
        <w:rPr>
          <w:rFonts w:ascii="宋体" w:hAnsi="宋体" w:cs="宋体"/>
          <w:szCs w:val="24"/>
        </w:rPr>
      </w:pPr>
      <w:r>
        <w:rPr>
          <w:rFonts w:hint="eastAsia" w:ascii="宋体" w:hAnsi="宋体" w:cs="宋体"/>
          <w:szCs w:val="24"/>
        </w:rPr>
        <w:t>在详情页面中，可查看参与竞价供应商人数、名称和报价详情，并可导出对应的报价表，竞价结果确认无误后，点击【保存并发布】如下图。</w:t>
      </w:r>
    </w:p>
    <w:p>
      <w:pPr>
        <w:ind w:left="480" w:firstLine="0" w:firstLineChars="0"/>
      </w:pPr>
      <w:r>
        <w:pict>
          <v:shape id="_x0000_i1073" o:spt="75" type="#_x0000_t75" style="height:220.1pt;width:482.95pt;" filled="f" o:preferrelative="t" stroked="f" coordsize="21600,21600">
            <v:path/>
            <v:fill on="f" focussize="0,0"/>
            <v:stroke on="f" joinstyle="miter"/>
            <v:imagedata r:id="rId58" o:title=""/>
            <o:lock v:ext="edit" aspectratio="t"/>
            <w10:wrap type="none"/>
            <w10:anchorlock/>
          </v:shape>
        </w:pict>
      </w:r>
    </w:p>
    <w:p>
      <w:pPr>
        <w:ind w:firstLine="480"/>
      </w:pPr>
      <w:r>
        <w:pict>
          <v:shape id="_x0000_i1074" o:spt="75" type="#_x0000_t75" style="height:277.15pt;width:472.75pt;" filled="f" o:preferrelative="t" stroked="f" coordsize="21600,21600">
            <v:path/>
            <v:fill on="f" focussize="0,0"/>
            <v:stroke on="f" joinstyle="miter"/>
            <v:imagedata r:id="rId59" o:title="单轮竞价，按明细，采购人查看"/>
            <o:lock v:ext="edit" aspectratio="t"/>
            <w10:wrap type="none"/>
            <w10:anchorlock/>
          </v:shape>
        </w:pict>
      </w:r>
    </w:p>
    <w:p>
      <w:pPr>
        <w:pStyle w:val="3"/>
        <w:numPr>
          <w:ilvl w:val="1"/>
          <w:numId w:val="0"/>
        </w:numPr>
        <w:rPr>
          <w:rFonts w:ascii="宋体" w:hAnsi="宋体" w:cs="宋体"/>
          <w:sz w:val="24"/>
          <w:szCs w:val="24"/>
        </w:rPr>
      </w:pPr>
      <w:bookmarkStart w:id="29" w:name="_Toc17719425"/>
      <w:r>
        <w:rPr>
          <w:rFonts w:ascii="宋体" w:hAnsi="宋体" w:cs="宋体"/>
          <w:sz w:val="24"/>
          <w:szCs w:val="24"/>
        </w:rPr>
        <w:t>3.9</w:t>
      </w:r>
      <w:r>
        <w:rPr>
          <w:rFonts w:hint="eastAsia" w:ascii="宋体" w:hAnsi="宋体" w:cs="宋体"/>
          <w:sz w:val="24"/>
          <w:szCs w:val="24"/>
        </w:rPr>
        <w:t>成交结果公告</w:t>
      </w:r>
      <w:bookmarkEnd w:id="29"/>
    </w:p>
    <w:p>
      <w:pPr>
        <w:ind w:firstLine="480"/>
      </w:pPr>
      <w:r>
        <w:rPr>
          <w:rFonts w:hint="eastAsia"/>
        </w:rPr>
        <w:t>发布竞卖情况后，经办人可发布本次项目的结果公告。</w:t>
      </w:r>
    </w:p>
    <w:p>
      <w:pPr>
        <w:numPr>
          <w:ilvl w:val="0"/>
          <w:numId w:val="21"/>
        </w:numPr>
        <w:ind w:firstLine="480"/>
      </w:pPr>
      <w:bookmarkStart w:id="30" w:name="OLE_LINK7"/>
      <w:bookmarkStart w:id="31" w:name="OLE_LINK6"/>
      <w:r>
        <w:rPr>
          <w:rFonts w:hint="eastAsia" w:ascii="宋体" w:hAnsi="宋体" w:cs="宋体"/>
          <w:szCs w:val="24"/>
        </w:rPr>
        <w:t>点击左侧菜单栏【成交结果公告】打开“成交结果公告”列表页后，点击【添加】按钮进入</w:t>
      </w:r>
      <w:bookmarkEnd w:id="30"/>
      <w:bookmarkEnd w:id="31"/>
      <w:r>
        <w:rPr>
          <w:rFonts w:hint="eastAsia" w:ascii="宋体" w:hAnsi="宋体" w:cs="宋体"/>
          <w:szCs w:val="24"/>
        </w:rPr>
        <w:t>成交结果公告编辑页面。</w:t>
      </w:r>
    </w:p>
    <w:p>
      <w:pPr>
        <w:ind w:firstLine="0" w:firstLineChars="0"/>
        <w:jc w:val="left"/>
      </w:pPr>
      <w:r>
        <w:pict>
          <v:shape id="_x0000_i1075" o:spt="75" type="#_x0000_t75" style="height:236.4pt;width:504pt;" filled="f" o:preferrelative="t" stroked="f" coordsize="21600,21600">
            <v:path/>
            <v:fill on="f" focussize="0,0"/>
            <v:stroke on="f" joinstyle="miter"/>
            <v:imagedata r:id="rId60" o:title=""/>
            <o:lock v:ext="edit" aspectratio="t"/>
            <w10:wrap type="none"/>
            <w10:anchorlock/>
          </v:shape>
        </w:pict>
      </w:r>
      <w:r>
        <w:t xml:space="preserve"> </w:t>
      </w:r>
    </w:p>
    <w:p>
      <w:pPr>
        <w:numPr>
          <w:ilvl w:val="0"/>
          <w:numId w:val="22"/>
        </w:numPr>
        <w:ind w:firstLineChars="0"/>
      </w:pPr>
      <w:r>
        <w:rPr>
          <w:rFonts w:hint="eastAsia"/>
        </w:rPr>
        <w:t>在结果公告编辑页面中，选择竞卖项目和包件，填写公示的起止时间。</w:t>
      </w:r>
    </w:p>
    <w:p>
      <w:pPr>
        <w:ind w:firstLine="0" w:firstLineChars="0"/>
        <w:jc w:val="left"/>
      </w:pPr>
      <w:r>
        <w:pict>
          <v:shape id="_x0000_i1076" o:spt="75" type="#_x0000_t75" style="height:336.9pt;width:504.7pt;" filled="f" o:preferrelative="t" stroked="f" coordsize="21600,21600">
            <v:path/>
            <v:fill on="f" focussize="0,0"/>
            <v:stroke on="f" joinstyle="miter"/>
            <v:imagedata r:id="rId61" cropbottom="1043f" o:title=""/>
            <o:lock v:ext="edit" aspectratio="t"/>
            <w10:wrap type="none"/>
            <w10:anchorlock/>
          </v:shape>
        </w:pict>
      </w:r>
    </w:p>
    <w:p>
      <w:pPr>
        <w:numPr>
          <w:ilvl w:val="0"/>
          <w:numId w:val="22"/>
        </w:numPr>
        <w:ind w:firstLineChars="0"/>
      </w:pPr>
      <w:r>
        <w:rPr>
          <w:rFonts w:hint="eastAsia"/>
        </w:rPr>
        <w:t>确认内容无误后点击“保存并提交审核”提交审核人员审核，经审核通过后即完成发布。</w:t>
      </w:r>
    </w:p>
    <w:p>
      <w:pPr>
        <w:ind w:left="400" w:firstLine="0" w:firstLineChars="0"/>
      </w:pPr>
      <w:r>
        <w:pict>
          <v:shape id="_x0000_i1077" o:spt="75" type="#_x0000_t75" style="height:299.55pt;width:475.45pt;" filled="f" o:preferrelative="t" stroked="f" coordsize="21600,21600">
            <v:path/>
            <v:fill on="f" focussize="0,0"/>
            <v:stroke on="f" joinstyle="miter"/>
            <v:imagedata r:id="rId62" o:title=""/>
            <o:lock v:ext="edit" aspectratio="t"/>
            <w10:wrap type="none"/>
            <w10:anchorlock/>
          </v:shape>
        </w:pict>
      </w:r>
    </w:p>
    <w:p>
      <w:pPr>
        <w:pStyle w:val="3"/>
        <w:numPr>
          <w:ilvl w:val="1"/>
          <w:numId w:val="0"/>
        </w:numPr>
      </w:pPr>
      <w:bookmarkStart w:id="32" w:name="_Toc17719426"/>
      <w:r>
        <w:rPr>
          <w:rFonts w:hint="eastAsia"/>
        </w:rPr>
        <w:t>3.</w:t>
      </w:r>
      <w:r>
        <w:t>10</w:t>
      </w:r>
      <w:r>
        <w:rPr>
          <w:rFonts w:hint="eastAsia"/>
        </w:rPr>
        <w:t>竞卖结果通知</w:t>
      </w:r>
      <w:bookmarkEnd w:id="32"/>
    </w:p>
    <w:p>
      <w:pPr>
        <w:ind w:firstLine="480"/>
      </w:pPr>
      <w:r>
        <w:rPr>
          <w:rFonts w:hint="eastAsia"/>
        </w:rPr>
        <w:t>竞价采购结果公示结束后，竞卖人即可发布竞价采购结果通知（书）。</w:t>
      </w:r>
    </w:p>
    <w:p>
      <w:pPr>
        <w:ind w:firstLine="480"/>
      </w:pPr>
      <w:r>
        <w:rPr>
          <w:rFonts w:hint="eastAsia"/>
        </w:rPr>
        <w:t>竞价采购结果通知（书）仅给参与报价的供应商查看。</w:t>
      </w:r>
    </w:p>
    <w:p>
      <w:pPr>
        <w:ind w:firstLine="480"/>
      </w:pPr>
      <w:r>
        <w:rPr>
          <w:rFonts w:hint="eastAsia"/>
        </w:rPr>
        <w:t>结果通知共分两种类型：中选通知和未中选通知，成交竞买人发送中选结果通知书，未中竞买人发送未中选结果通知书。</w:t>
      </w:r>
    </w:p>
    <w:p>
      <w:pPr>
        <w:numPr>
          <w:ilvl w:val="1"/>
          <w:numId w:val="0"/>
        </w:numPr>
        <w:outlineLvl w:val="3"/>
        <w:rPr>
          <w:bCs/>
        </w:rPr>
      </w:pPr>
      <w:r>
        <w:rPr>
          <w:rFonts w:hint="eastAsia"/>
          <w:b/>
          <w:bCs/>
        </w:rPr>
        <w:t>3</w:t>
      </w:r>
      <w:r>
        <w:rPr>
          <w:b/>
          <w:bCs/>
        </w:rPr>
        <w:t>.10.1</w:t>
      </w:r>
      <w:r>
        <w:rPr>
          <w:rFonts w:hint="eastAsia"/>
          <w:b/>
          <w:bCs/>
        </w:rPr>
        <w:t>通知一：中选通知（书）</w:t>
      </w:r>
    </w:p>
    <w:p>
      <w:pPr>
        <w:numPr>
          <w:ilvl w:val="0"/>
          <w:numId w:val="23"/>
        </w:numPr>
        <w:ind w:firstLine="480"/>
      </w:pPr>
      <w:r>
        <w:rPr>
          <w:rFonts w:hint="eastAsia" w:ascii="宋体" w:hAnsi="宋体" w:cs="宋体"/>
          <w:szCs w:val="24"/>
        </w:rPr>
        <w:t>点击左侧菜单栏【竞卖结果通知】进入“竞卖结果通知”列表页后，点击【添加】进入“竞卖结果通知书”详细页面。</w:t>
      </w:r>
    </w:p>
    <w:p>
      <w:pPr>
        <w:ind w:firstLine="420" w:firstLineChars="0"/>
        <w:jc w:val="left"/>
      </w:pPr>
      <w:r>
        <w:pict>
          <v:shape id="_x0000_i1078" o:spt="75" type="#_x0000_t75" style="height:241.8pt;width:504pt;" filled="f" o:preferrelative="t" stroked="f" coordsize="21600,21600">
            <v:path/>
            <v:fill on="f" focussize="0,0"/>
            <v:stroke on="f" joinstyle="miter"/>
            <v:imagedata r:id="rId63" o:title=""/>
            <o:lock v:ext="edit" aspectratio="t"/>
            <w10:wrap type="none"/>
            <w10:anchorlock/>
          </v:shape>
        </w:pict>
      </w:r>
    </w:p>
    <w:p>
      <w:pPr>
        <w:numPr>
          <w:ilvl w:val="0"/>
          <w:numId w:val="23"/>
        </w:numPr>
        <w:ind w:firstLine="480"/>
      </w:pPr>
      <w:r>
        <w:rPr>
          <w:rFonts w:hint="eastAsia"/>
        </w:rPr>
        <w:t>在“竞卖结果通知书”详细页面中，选择公示类型为中选公示、选择竞卖项目及成交竞买人。</w:t>
      </w:r>
    </w:p>
    <w:p>
      <w:pPr>
        <w:ind w:firstLine="420" w:firstLineChars="0"/>
        <w:jc w:val="center"/>
      </w:pPr>
      <w:r>
        <w:pict>
          <v:shape id="_x0000_i1079" o:spt="75" type="#_x0000_t75" style="height:368.15pt;width:504pt;" filled="f" o:preferrelative="t" stroked="f" coordsize="21600,21600">
            <v:path/>
            <v:fill on="f" focussize="0,0"/>
            <v:stroke on="f" joinstyle="miter"/>
            <v:imagedata r:id="rId64" o:title=""/>
            <o:lock v:ext="edit" aspectratio="t"/>
            <w10:wrap type="none"/>
            <w10:anchorlock/>
          </v:shape>
        </w:pict>
      </w:r>
    </w:p>
    <w:p>
      <w:pPr>
        <w:numPr>
          <w:ilvl w:val="0"/>
          <w:numId w:val="23"/>
        </w:numPr>
        <w:ind w:firstLine="480"/>
        <w:rPr>
          <w:sz w:val="21"/>
          <w:szCs w:val="21"/>
        </w:rPr>
      </w:pPr>
      <w:r>
        <w:rPr>
          <w:rFonts w:hint="eastAsia"/>
        </w:rPr>
        <w:t>点击【编辑】，编辑中选通知书，编辑完通知书内容后选择“审核人员”，确认结果通知内容无误后，点击【保存并提交审核】经审核人员审核通过后即正式发布。</w:t>
      </w:r>
    </w:p>
    <w:p>
      <w:pPr>
        <w:ind w:firstLine="0" w:firstLineChars="0"/>
        <w:jc w:val="center"/>
        <w:rPr>
          <w:rFonts w:ascii="宋体" w:hAnsi="宋体" w:cs="宋体"/>
          <w:sz w:val="18"/>
          <w:szCs w:val="18"/>
        </w:rPr>
      </w:pPr>
      <w:r>
        <w:pict>
          <v:shape id="_x0000_i1080" o:spt="75" type="#_x0000_t75" style="height:169.15pt;width:487.7pt;" filled="f" o:preferrelative="t" stroked="f" coordsize="21600,21600">
            <v:path/>
            <v:fill on="f" focussize="0,0"/>
            <v:stroke on="f" joinstyle="miter"/>
            <v:imagedata r:id="rId65" croptop="8794f" o:title=""/>
            <o:lock v:ext="edit" aspectratio="t"/>
            <w10:wrap type="none"/>
            <w10:anchorlock/>
          </v:shape>
        </w:pict>
      </w:r>
      <w:r>
        <w:pict>
          <v:shape id="_x0000_i1081" o:spt="75" type="#_x0000_t75" style="height:285.95pt;width:504.7pt;" filled="f" o:preferrelative="t" stroked="f" coordsize="21600,21600">
            <v:path/>
            <v:fill on="f" focussize="0,0"/>
            <v:stroke on="f" joinstyle="miter"/>
            <v:imagedata r:id="rId66" o:title=""/>
            <o:lock v:ext="edit" aspectratio="t"/>
            <w10:wrap type="none"/>
            <w10:anchorlock/>
          </v:shape>
        </w:pict>
      </w:r>
    </w:p>
    <w:p>
      <w:pPr>
        <w:numPr>
          <w:ilvl w:val="1"/>
          <w:numId w:val="0"/>
        </w:numPr>
        <w:outlineLvl w:val="3"/>
        <w:rPr>
          <w:bCs/>
        </w:rPr>
      </w:pPr>
      <w:r>
        <w:rPr>
          <w:rFonts w:hint="eastAsia"/>
          <w:b/>
          <w:bCs/>
        </w:rPr>
        <w:t>3</w:t>
      </w:r>
      <w:r>
        <w:rPr>
          <w:b/>
          <w:bCs/>
        </w:rPr>
        <w:t>.10.2</w:t>
      </w:r>
      <w:r>
        <w:rPr>
          <w:rFonts w:hint="eastAsia"/>
          <w:b/>
          <w:bCs/>
        </w:rPr>
        <w:t>通知二：未中选通知（书）</w:t>
      </w:r>
    </w:p>
    <w:p>
      <w:pPr>
        <w:numPr>
          <w:ilvl w:val="0"/>
          <w:numId w:val="24"/>
        </w:numPr>
        <w:ind w:firstLine="480"/>
      </w:pPr>
      <w:r>
        <w:rPr>
          <w:rFonts w:hint="eastAsia" w:ascii="宋体" w:hAnsi="宋体" w:cs="宋体"/>
          <w:szCs w:val="24"/>
        </w:rPr>
        <w:t>点击左侧菜单栏【竞卖结果通知】进入“竞卖结果通知”列表页后，点击【添加】进入“竞卖结果通知书”详细页面。</w:t>
      </w:r>
    </w:p>
    <w:p>
      <w:pPr>
        <w:ind w:firstLine="0" w:firstLineChars="0"/>
        <w:jc w:val="center"/>
      </w:pPr>
      <w:r>
        <w:pict>
          <v:shape id="_x0000_i1082" o:spt="75" type="#_x0000_t75" style="height:241.8pt;width:504pt;" filled="f" o:preferrelative="t" stroked="f" coordsize="21600,21600">
            <v:path/>
            <v:fill on="f" focussize="0,0"/>
            <v:stroke on="f" joinstyle="miter"/>
            <v:imagedata r:id="rId63" o:title=""/>
            <o:lock v:ext="edit" aspectratio="t"/>
            <w10:wrap type="none"/>
            <w10:anchorlock/>
          </v:shape>
        </w:pict>
      </w:r>
    </w:p>
    <w:p>
      <w:pPr>
        <w:numPr>
          <w:ilvl w:val="0"/>
          <w:numId w:val="25"/>
        </w:numPr>
        <w:ind w:firstLine="480"/>
      </w:pPr>
      <w:r>
        <w:rPr>
          <w:rFonts w:hint="eastAsia"/>
        </w:rPr>
        <w:t>在“竞卖结果通知书”详细页面中，选择公示类型为未中选公示、选择竞卖项目，填写流标原因和选择审核人员，确认无误后点击【保存并提交审核】。</w:t>
      </w:r>
    </w:p>
    <w:p>
      <w:pPr>
        <w:ind w:firstLine="0" w:firstLineChars="0"/>
        <w:jc w:val="center"/>
      </w:pPr>
      <w:r>
        <w:pict>
          <v:shape id="_x0000_i1083" o:spt="75" type="#_x0000_t75" style="height:400.1pt;width:504.7pt;" filled="f" o:preferrelative="t" stroked="f" coordsize="21600,21600">
            <v:path/>
            <v:fill on="f" focussize="0,0"/>
            <v:stroke on="f" joinstyle="miter"/>
            <v:imagedata r:id="rId67" o:title=""/>
            <o:lock v:ext="edit" aspectratio="t"/>
            <w10:wrap type="none"/>
            <w10:anchorlock/>
          </v:shape>
        </w:pict>
      </w:r>
    </w:p>
    <w:p>
      <w:pPr>
        <w:pStyle w:val="3"/>
        <w:numPr>
          <w:ilvl w:val="1"/>
          <w:numId w:val="0"/>
        </w:numPr>
        <w:rPr>
          <w:rFonts w:ascii="宋体" w:hAnsi="宋体" w:cs="宋体"/>
          <w:sz w:val="24"/>
          <w:szCs w:val="24"/>
        </w:rPr>
      </w:pPr>
      <w:bookmarkStart w:id="33" w:name="_Toc17719427"/>
      <w:r>
        <w:rPr>
          <w:rFonts w:ascii="宋体" w:hAnsi="宋体" w:cs="宋体"/>
          <w:sz w:val="24"/>
          <w:szCs w:val="24"/>
        </w:rPr>
        <w:t>3.11</w:t>
      </w:r>
      <w:r>
        <w:rPr>
          <w:rFonts w:hint="eastAsia" w:ascii="宋体" w:hAnsi="宋体" w:cs="宋体"/>
          <w:sz w:val="24"/>
          <w:szCs w:val="24"/>
        </w:rPr>
        <w:t>申请退还保证金</w:t>
      </w:r>
      <w:bookmarkEnd w:id="33"/>
    </w:p>
    <w:p>
      <w:pPr>
        <w:ind w:firstLine="0" w:firstLineChars="0"/>
      </w:pPr>
      <w:r>
        <w:tab/>
      </w:r>
      <w:r>
        <w:rPr>
          <w:rFonts w:hint="eastAsia"/>
        </w:rPr>
        <w:t>经办人需要退还保证金给供应商时，可在“申请退还保证金”节点发起申请退还，具体操作为如下。</w:t>
      </w:r>
    </w:p>
    <w:p>
      <w:pPr>
        <w:numPr>
          <w:ilvl w:val="0"/>
          <w:numId w:val="26"/>
        </w:numPr>
        <w:ind w:firstLineChars="0"/>
      </w:pPr>
      <w:r>
        <w:rPr>
          <w:rFonts w:hint="eastAsia" w:ascii="宋体" w:hAnsi="宋体" w:cs="宋体"/>
          <w:szCs w:val="24"/>
        </w:rPr>
        <w:t>点击左侧菜单栏【申请退还保证金】进入“申请退还保证金”列表页后，选择对应项目点击【申请退还】进入退还保证金详情页。</w:t>
      </w:r>
    </w:p>
    <w:p>
      <w:pPr>
        <w:ind w:firstLine="0" w:firstLineChars="0"/>
      </w:pPr>
      <w:r>
        <w:pict>
          <v:shape id="_x0000_i1084" o:spt="75" type="#_x0000_t75" style="height:260.15pt;width:505.35pt;" filled="f" o:preferrelative="t" stroked="f" coordsize="21600,21600">
            <v:path/>
            <v:fill on="f" focussize="0,0"/>
            <v:stroke on="f" joinstyle="miter"/>
            <v:imagedata r:id="rId68" o:title=""/>
            <o:lock v:ext="edit" aspectratio="t"/>
            <w10:wrap type="none"/>
            <w10:anchorlock/>
          </v:shape>
        </w:pict>
      </w:r>
    </w:p>
    <w:p>
      <w:pPr>
        <w:numPr>
          <w:ilvl w:val="0"/>
          <w:numId w:val="26"/>
        </w:numPr>
        <w:ind w:firstLineChars="0"/>
      </w:pPr>
      <w:r>
        <w:rPr>
          <w:rFonts w:hint="eastAsia" w:ascii="宋体" w:hAnsi="宋体" w:cs="宋体"/>
          <w:szCs w:val="24"/>
        </w:rPr>
        <w:t>在退还保证金详情页中，选择需要退还保证金的供应商，确认信息无误后提交审核，审核通过后即可退还。经办人点击页面右上方【导出退还申请单】，可导出退还保证金的详细信息表格供查阅或审批。</w:t>
      </w:r>
    </w:p>
    <w:p>
      <w:pPr>
        <w:ind w:firstLine="0" w:firstLineChars="0"/>
      </w:pPr>
      <w:r>
        <w:pict>
          <v:shape id="_x0000_i1085" o:spt="75" type="#_x0000_t75" style="height:252.7pt;width:504.7pt;" filled="f" o:preferrelative="t" stroked="f" coordsize="21600,21600">
            <v:path/>
            <v:fill on="f" focussize="0,0"/>
            <v:stroke on="f" joinstyle="miter"/>
            <v:imagedata r:id="rId69" o:title=""/>
            <o:lock v:ext="edit" aspectratio="t"/>
            <w10:wrap type="none"/>
            <w10:anchorlock/>
          </v:shape>
        </w:pict>
      </w:r>
    </w:p>
    <w:p>
      <w:pPr>
        <w:pStyle w:val="3"/>
        <w:numPr>
          <w:ilvl w:val="1"/>
          <w:numId w:val="0"/>
        </w:numPr>
        <w:rPr>
          <w:rFonts w:ascii="宋体" w:hAnsi="宋体" w:cs="宋体"/>
          <w:sz w:val="24"/>
          <w:szCs w:val="24"/>
        </w:rPr>
      </w:pPr>
      <w:bookmarkStart w:id="34" w:name="_Toc17719428"/>
      <w:bookmarkStart w:id="35" w:name="_Toc8203"/>
      <w:bookmarkStart w:id="36" w:name="_Toc16365"/>
      <w:bookmarkStart w:id="37" w:name="_Toc31349"/>
      <w:bookmarkStart w:id="38" w:name="_Toc6355"/>
      <w:bookmarkStart w:id="39" w:name="_Toc303"/>
      <w:r>
        <w:rPr>
          <w:rFonts w:ascii="宋体" w:hAnsi="宋体" w:cs="宋体"/>
          <w:sz w:val="24"/>
          <w:szCs w:val="24"/>
        </w:rPr>
        <w:t>3.12</w:t>
      </w:r>
      <w:r>
        <w:rPr>
          <w:rFonts w:hint="eastAsia" w:ascii="宋体" w:hAnsi="宋体" w:cs="宋体"/>
          <w:sz w:val="24"/>
          <w:szCs w:val="24"/>
        </w:rPr>
        <w:t>采购</w:t>
      </w:r>
      <w:r>
        <w:rPr>
          <w:rFonts w:ascii="宋体" w:hAnsi="宋体" w:cs="宋体"/>
          <w:sz w:val="24"/>
          <w:szCs w:val="24"/>
        </w:rPr>
        <w:t>异常</w:t>
      </w:r>
      <w:bookmarkEnd w:id="34"/>
    </w:p>
    <w:p>
      <w:pPr>
        <w:ind w:firstLine="480"/>
      </w:pPr>
      <w:r>
        <w:rPr>
          <w:rFonts w:hint="eastAsia"/>
        </w:rPr>
        <w:t>当项目需要终止时，可以发布采购异常。</w:t>
      </w:r>
    </w:p>
    <w:p>
      <w:pPr>
        <w:numPr>
          <w:ilvl w:val="0"/>
          <w:numId w:val="26"/>
        </w:numPr>
        <w:ind w:firstLineChars="0"/>
      </w:pPr>
      <w:r>
        <w:rPr>
          <w:rFonts w:hint="eastAsia" w:ascii="宋体" w:hAnsi="宋体" w:cs="宋体"/>
          <w:szCs w:val="24"/>
        </w:rPr>
        <w:t>点击左侧菜单栏【采购异常】进入“竞卖结果通知”列表页后，点击【添加】进入“竞卖异常”编辑页面。</w:t>
      </w:r>
    </w:p>
    <w:p>
      <w:pPr>
        <w:ind w:firstLine="400" w:firstLineChars="0"/>
      </w:pPr>
      <w:r>
        <w:pict>
          <v:shape id="_x0000_i1086" o:spt="75" type="#_x0000_t75" style="height:254.7pt;width:487.7pt;" filled="f" o:preferrelative="t" stroked="f" coordsize="21600,21600">
            <v:path/>
            <v:fill on="f" focussize="0,0"/>
            <v:stroke on="f" joinstyle="miter"/>
            <v:imagedata r:id="rId70" o:title=""/>
            <o:lock v:ext="edit" aspectratio="t"/>
            <w10:wrap type="none"/>
            <w10:anchorlock/>
          </v:shape>
        </w:pict>
      </w:r>
    </w:p>
    <w:p>
      <w:pPr>
        <w:numPr>
          <w:ilvl w:val="0"/>
          <w:numId w:val="26"/>
        </w:numPr>
        <w:ind w:firstLineChars="0"/>
      </w:pPr>
      <w:r>
        <w:rPr>
          <w:rFonts w:hint="eastAsia"/>
        </w:rPr>
        <w:t>进入编辑页面后，依次现在项目和包件，选择是否对外公示和填写公示时间，填写项目经理信息和联系人电话，填写异常情况描述，并结合实际项目情况选择是否上传异常报告附件，选择审核人员，确认信息无误后提交审核。审核通过后异常即发布生效。</w:t>
      </w:r>
    </w:p>
    <w:p>
      <w:pPr>
        <w:ind w:firstLine="0" w:firstLineChars="0"/>
      </w:pPr>
      <w:r>
        <w:pict>
          <v:shape id="_x0000_i1087" o:spt="75" type="#_x0000_t75" style="height:288.7pt;width:504.7pt;" filled="f" o:preferrelative="t" stroked="f" coordsize="21600,21600">
            <v:path/>
            <v:fill on="f" focussize="0,0"/>
            <v:stroke on="f" joinstyle="miter"/>
            <v:imagedata r:id="rId71" cropbottom="13246f" o:title=""/>
            <o:lock v:ext="edit" aspectratio="t"/>
            <w10:wrap type="none"/>
            <w10:anchorlock/>
          </v:shape>
        </w:pict>
      </w:r>
      <w:r>
        <w:pict>
          <v:shape id="_x0000_i1088" o:spt="75" type="#_x0000_t75" style="height:112.75pt;width:504.7pt;" filled="f" o:preferrelative="t" stroked="f" coordsize="21600,21600">
            <v:path/>
            <v:fill on="f" focussize="0,0"/>
            <v:stroke on="f" joinstyle="miter"/>
            <v:imagedata r:id="rId71" croptop="45267f" cropbottom="-89f" o:title=""/>
            <o:lock v:ext="edit" aspectratio="t"/>
            <w10:wrap type="none"/>
            <w10:anchorlock/>
          </v:shape>
        </w:pict>
      </w:r>
    </w:p>
    <w:p>
      <w:pPr>
        <w:numPr>
          <w:ilvl w:val="1"/>
          <w:numId w:val="0"/>
        </w:numPr>
        <w:outlineLvl w:val="1"/>
        <w:rPr>
          <w:b/>
          <w:bCs/>
        </w:rPr>
      </w:pPr>
      <w:bookmarkStart w:id="40" w:name="_Toc17719429"/>
      <w:r>
        <w:rPr>
          <w:rFonts w:hint="eastAsia"/>
          <w:b/>
          <w:bCs/>
        </w:rPr>
        <w:t>3</w:t>
      </w:r>
      <w:r>
        <w:rPr>
          <w:b/>
          <w:bCs/>
        </w:rPr>
        <w:t xml:space="preserve">.13 </w:t>
      </w:r>
      <w:r>
        <w:rPr>
          <w:rFonts w:hint="eastAsia"/>
          <w:b/>
          <w:bCs/>
        </w:rPr>
        <w:t>资料归档</w:t>
      </w:r>
      <w:bookmarkEnd w:id="40"/>
    </w:p>
    <w:p>
      <w:pPr>
        <w:numPr>
          <w:ilvl w:val="1"/>
          <w:numId w:val="0"/>
        </w:numPr>
      </w:pPr>
      <w:r>
        <w:tab/>
      </w:r>
      <w:r>
        <w:rPr>
          <w:rFonts w:hint="eastAsia"/>
        </w:rPr>
        <w:t>资料归档，是对项目各阶段主要内容进行资料归档汇总。</w:t>
      </w:r>
    </w:p>
    <w:p>
      <w:pPr>
        <w:numPr>
          <w:ilvl w:val="0"/>
          <w:numId w:val="27"/>
        </w:numPr>
        <w:ind w:firstLineChars="0"/>
      </w:pPr>
      <w:r>
        <w:rPr>
          <w:rFonts w:hint="eastAsia" w:ascii="宋体" w:hAnsi="宋体" w:cs="宋体"/>
          <w:szCs w:val="24"/>
        </w:rPr>
        <w:t>点击左侧菜单栏【资料归档】按钮打开“资料归档”列表页后，点击【编辑】进入“项目资料归档”编辑页面。</w:t>
      </w:r>
    </w:p>
    <w:p>
      <w:pPr>
        <w:ind w:firstLine="0" w:firstLineChars="0"/>
      </w:pPr>
      <w:r>
        <w:pict>
          <v:shape id="_x0000_i1089" o:spt="75" type="#_x0000_t75" style="height:265.6pt;width:504.7pt;" filled="f" o:preferrelative="t" stroked="f" coordsize="21600,21600">
            <v:path/>
            <v:fill on="f" focussize="0,0"/>
            <v:stroke on="f" joinstyle="miter"/>
            <v:imagedata r:id="rId72" o:title=""/>
            <o:lock v:ext="edit" aspectratio="t"/>
            <w10:wrap type="none"/>
            <w10:anchorlock/>
          </v:shape>
        </w:pict>
      </w:r>
      <w:bookmarkEnd w:id="35"/>
      <w:bookmarkEnd w:id="36"/>
      <w:bookmarkEnd w:id="37"/>
      <w:bookmarkEnd w:id="38"/>
      <w:bookmarkEnd w:id="39"/>
    </w:p>
    <w:p>
      <w:pPr>
        <w:numPr>
          <w:ilvl w:val="0"/>
          <w:numId w:val="27"/>
        </w:numPr>
        <w:ind w:firstLineChars="0"/>
      </w:pPr>
      <w:r>
        <w:rPr>
          <w:rFonts w:hint="eastAsia" w:ascii="宋体" w:hAnsi="宋体" w:cs="宋体"/>
          <w:szCs w:val="24"/>
        </w:rPr>
        <w:t>在“项目资料归档”编辑页面中，点击【生成】获取各阶段已完成流程的资料文件，也可手动新增附件上传；</w:t>
      </w:r>
    </w:p>
    <w:p>
      <w:pPr>
        <w:ind w:left="400" w:firstLine="0" w:firstLineChars="0"/>
      </w:pPr>
      <w:r>
        <w:t xml:space="preserve"> </w:t>
      </w:r>
      <w:r>
        <w:pict>
          <v:shape id="_x0000_i1090" o:spt="75" type="#_x0000_t75" style="height:334.2pt;width:486.35pt;" filled="f" o:preferrelative="t" stroked="f" coordsize="21600,21600">
            <v:path/>
            <v:fill on="f" focussize="0,0"/>
            <v:stroke on="f" joinstyle="miter"/>
            <v:imagedata r:id="rId73" o:title=""/>
            <o:lock v:ext="edit" aspectratio="t"/>
            <w10:wrap type="none"/>
            <w10:anchorlock/>
          </v:shape>
        </w:pict>
      </w:r>
    </w:p>
    <w:p>
      <w:pPr>
        <w:numPr>
          <w:ilvl w:val="0"/>
          <w:numId w:val="27"/>
        </w:numPr>
        <w:ind w:firstLineChars="0"/>
      </w:pPr>
      <w:r>
        <w:rPr>
          <w:rFonts w:hint="eastAsia" w:ascii="宋体" w:hAnsi="宋体" w:cs="宋体"/>
          <w:szCs w:val="24"/>
        </w:rPr>
        <w:t>点击【资料锁定】完成资料确认锁定，资料文件不可再更改；</w:t>
      </w:r>
      <w:r>
        <w:t xml:space="preserve"> </w:t>
      </w:r>
    </w:p>
    <w:p>
      <w:pPr>
        <w:ind w:left="400" w:firstLine="0" w:firstLineChars="0"/>
      </w:pPr>
      <w:r>
        <w:pict>
          <v:shape id="_x0000_i1091" o:spt="75" type="#_x0000_t75" style="height:343pt;width:504.7pt;" filled="f" o:preferrelative="t" stroked="f" coordsize="21600,21600">
            <v:path/>
            <v:fill on="f" focussize="0,0"/>
            <v:stroke on="f" joinstyle="miter"/>
            <v:imagedata r:id="rId74" o:title=""/>
            <o:lock v:ext="edit" aspectratio="t"/>
            <w10:wrap type="none"/>
            <w10:anchorlock/>
          </v:shape>
        </w:pict>
      </w:r>
    </w:p>
    <w:p>
      <w:pPr>
        <w:numPr>
          <w:ilvl w:val="0"/>
          <w:numId w:val="27"/>
        </w:numPr>
        <w:ind w:firstLineChars="0"/>
      </w:pPr>
      <w:r>
        <w:rPr>
          <w:rFonts w:hint="eastAsia" w:ascii="宋体" w:hAnsi="宋体" w:cs="宋体"/>
          <w:szCs w:val="24"/>
        </w:rPr>
        <w:t>点击【资料整编】可下载所有汇总归档文件。</w:t>
      </w:r>
    </w:p>
    <w:p>
      <w:pPr>
        <w:ind w:left="400" w:firstLine="0" w:firstLineChars="0"/>
      </w:pPr>
      <w:r>
        <w:pict>
          <v:shape id="_x0000_i1092" o:spt="75" type="#_x0000_t75" style="height:271.7pt;width:486.35pt;" filled="f" o:preferrelative="t" stroked="f" coordsize="21600,21600">
            <v:path/>
            <v:fill on="f" focussize="0,0"/>
            <v:stroke on="f" joinstyle="miter"/>
            <v:imagedata r:id="rId75" cropleft="7579f" croptop="13601f" cropright="8154f" o:title=""/>
            <o:lock v:ext="edit" aspectratio="t"/>
            <w10:wrap type="none"/>
            <w10:anchorlock/>
          </v:shape>
        </w:pict>
      </w:r>
    </w:p>
    <w:sectPr>
      <w:footerReference r:id="rId9" w:type="default"/>
      <w:footerReference r:id="rId10" w:type="even"/>
      <w:pgSz w:w="11906" w:h="16838"/>
      <w:pgMar w:top="1020" w:right="907" w:bottom="1020" w:left="907" w:header="851" w:footer="680" w:gutter="0"/>
      <w:pgNumType w:start="1"/>
      <w:cols w:space="720" w:num="1"/>
      <w:docGrid w:type="lines" w:linePitch="328"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Arial">
    <w:panose1 w:val="020B0604020202020204"/>
    <w:charset w:val="00"/>
    <w:family w:val="swiss"/>
    <w:pitch w:val="default"/>
    <w:sig w:usb0="E0002EFF" w:usb1="C000785B" w:usb2="00000009" w:usb3="00000000" w:csb0="400001FF" w:csb1="FFFF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firstLine="360"/>
      <w:jc w:val="right"/>
    </w:pPr>
    <w:r>
      <w:pict>
        <v:rect id="文本框 30" o:spid="_x0000_s2049" o:spt="1" style="position:absolute;left:0pt;margin-top:0pt;height:144pt;width:144pt;mso-position-horizontal:left;mso-position-horizontal-relative:margin;mso-wrap-style:none;z-index:1024;mso-width-relative:page;mso-height-relative:page;" filled="f" o:preferrelative="t" stroked="f" coordsize="21600,21600">
          <v:path/>
          <v:fill on="f" focussize="0,0"/>
          <v:stroke on="f"/>
          <v:imagedata o:title=""/>
          <o:lock v:ext="edit"/>
          <v:textbox inset="0mm,0mm,0mm,0mm" style="mso-fit-shape-to-text:t;">
            <w:txbxContent>
              <w:p>
                <w:pPr>
                  <w:tabs>
                    <w:tab w:val="center" w:pos="4153"/>
                    <w:tab w:val="right" w:pos="8306"/>
                  </w:tabs>
                  <w:ind w:firstLine="480"/>
                  <w:jc w:val="right"/>
                </w:pPr>
              </w:p>
              <w:p>
                <w:pPr>
                  <w:ind w:firstLine="480"/>
                </w:pPr>
              </w:p>
            </w:txbxContent>
          </v:textbox>
        </v:rect>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firstLine="360"/>
      <w:jc w:val="right"/>
    </w:pPr>
    <w:r>
      <w:pict>
        <v:rect id="文本框 32" o:spid="_x0000_s2050" o:spt="1" style="position:absolute;left:0pt;margin-top:0pt;height:144pt;width:144pt;mso-position-horizontal:center;mso-position-horizontal-relative:margin;mso-wrap-style:none;z-index:1024;mso-width-relative:page;mso-height-relative:page;" filled="f" o:preferrelative="t" stroked="f" coordsize="21600,21600">
          <v:path/>
          <v:fill on="f" focussize="0,0"/>
          <v:stroke on="f"/>
          <v:imagedata o:title=""/>
          <o:lock v:ext="edit"/>
          <v:textbox inset="0mm,0mm,0mm,0mm" style="mso-fit-shape-to-text:t;">
            <w:txbxContent>
              <w:p>
                <w:pPr>
                  <w:snapToGrid w:val="0"/>
                  <w:ind w:firstLine="36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3</w:t>
                </w:r>
                <w:r>
                  <w:rPr>
                    <w:rFonts w:hint="eastAsia"/>
                    <w:sz w:val="18"/>
                  </w:rPr>
                  <w:fldChar w:fldCharType="end"/>
                </w:r>
                <w:r>
                  <w:rPr>
                    <w:rFonts w:hint="eastAsia"/>
                    <w:sz w:val="18"/>
                  </w:rPr>
                  <w:t xml:space="preserve"> 页</w:t>
                </w:r>
              </w:p>
            </w:txbxContent>
          </v:textbox>
        </v:rect>
      </w:pict>
    </w:r>
    <w:r>
      <w:pict>
        <v:rect id="文本框 33" o:spid="_x0000_s2051" o:spt="1" style="position:absolute;left:0pt;margin-top:0pt;height:144pt;width:144pt;mso-position-horizontal:left;mso-position-horizontal-relative:margin;mso-wrap-style:none;z-index:1024;mso-width-relative:page;mso-height-relative:page;" filled="f" o:preferrelative="t" stroked="f" coordsize="21600,21600">
          <v:path/>
          <v:fill on="f" focussize="0,0"/>
          <v:stroke on="f"/>
          <v:imagedata o:title=""/>
          <o:lock v:ext="edit"/>
          <v:textbox inset="0mm,0mm,0mm,0mm" style="mso-fit-shape-to-text:t;">
            <w:txbxContent>
              <w:p>
                <w:pPr>
                  <w:tabs>
                    <w:tab w:val="center" w:pos="4153"/>
                    <w:tab w:val="right" w:pos="8306"/>
                  </w:tabs>
                  <w:ind w:firstLine="480"/>
                  <w:jc w:val="right"/>
                </w:pPr>
              </w:p>
              <w:p>
                <w:pPr>
                  <w:ind w:firstLine="480"/>
                </w:pPr>
              </w:p>
            </w:txbxContent>
          </v:textbox>
        </v:rect>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firstLine="360"/>
    </w:pPr>
    <w:r>
      <w:pict>
        <v:rect id="文本框 34" o:spid="_x0000_s2052" o:spt="1" style="position:absolute;left:0pt;margin-top:0pt;height:144pt;width:144pt;mso-position-horizontal:center;mso-position-horizontal-relative:margin;mso-wrap-style:none;z-index:1024;mso-width-relative:page;mso-height-relative:page;" filled="f" o:preferrelative="t" stroked="f" coordsize="21600,21600">
          <v:path/>
          <v:fill on="f" focussize="0,0"/>
          <v:stroke on="f"/>
          <v:imagedata o:title=""/>
          <o:lock v:ext="edit"/>
          <v:textbox inset="0mm,0mm,0mm,0mm" style="mso-fit-shape-to-text:t;">
            <w:txbxContent>
              <w:p>
                <w:pPr>
                  <w:snapToGrid w:val="0"/>
                  <w:ind w:firstLine="36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2</w:t>
                </w:r>
                <w:r>
                  <w:rPr>
                    <w:rFonts w:hint="eastAsia"/>
                    <w:sz w:val="18"/>
                  </w:rPr>
                  <w:fldChar w:fldCharType="end"/>
                </w:r>
                <w:r>
                  <w:rPr>
                    <w:rFonts w:hint="eastAsia"/>
                    <w:sz w:val="18"/>
                  </w:rPr>
                  <w:t xml:space="preserve"> 页</w:t>
                </w:r>
              </w:p>
            </w:txbxContent>
          </v:textbox>
        </v:rect>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D32AD"/>
    <w:multiLevelType w:val="singleLevel"/>
    <w:tmpl w:val="0C8D32AD"/>
    <w:lvl w:ilvl="0" w:tentative="0">
      <w:start w:val="1"/>
      <w:numFmt w:val="decimalEnclosedCircleChinese"/>
      <w:suff w:val="nothing"/>
      <w:lvlText w:val="%1　"/>
      <w:lvlJc w:val="left"/>
      <w:pPr>
        <w:ind w:left="0" w:firstLine="400"/>
      </w:pPr>
      <w:rPr>
        <w:rFonts w:hint="eastAsia"/>
        <w:b w:val="0"/>
        <w:bCs/>
      </w:rPr>
    </w:lvl>
  </w:abstractNum>
  <w:abstractNum w:abstractNumId="1">
    <w:nsid w:val="215919AD"/>
    <w:multiLevelType w:val="multilevel"/>
    <w:tmpl w:val="215919AD"/>
    <w:lvl w:ilvl="0" w:tentative="0">
      <w:start w:val="1"/>
      <w:numFmt w:val="bullet"/>
      <w:lvlText w:val=""/>
      <w:lvlJc w:val="left"/>
      <w:pPr>
        <w:ind w:left="1260" w:hanging="420"/>
      </w:pPr>
      <w:rPr>
        <w:rFonts w:hint="default" w:ascii="Wingdings" w:hAnsi="Wingdings"/>
      </w:rPr>
    </w:lvl>
    <w:lvl w:ilvl="1" w:tentative="0">
      <w:start w:val="1"/>
      <w:numFmt w:val="bullet"/>
      <w:lvlText w:val=""/>
      <w:lvlJc w:val="left"/>
      <w:pPr>
        <w:ind w:left="1680" w:hanging="420"/>
      </w:pPr>
      <w:rPr>
        <w:rFonts w:hint="default" w:ascii="Wingdings" w:hAnsi="Wingdings"/>
      </w:rPr>
    </w:lvl>
    <w:lvl w:ilvl="2" w:tentative="0">
      <w:start w:val="1"/>
      <w:numFmt w:val="bullet"/>
      <w:lvlText w:val=""/>
      <w:lvlJc w:val="left"/>
      <w:pPr>
        <w:ind w:left="2100" w:hanging="420"/>
      </w:pPr>
      <w:rPr>
        <w:rFonts w:hint="default" w:ascii="Wingdings" w:hAnsi="Wingdings"/>
      </w:rPr>
    </w:lvl>
    <w:lvl w:ilvl="3" w:tentative="0">
      <w:start w:val="1"/>
      <w:numFmt w:val="bullet"/>
      <w:lvlText w:val=""/>
      <w:lvlJc w:val="left"/>
      <w:pPr>
        <w:ind w:left="2520" w:hanging="420"/>
      </w:pPr>
      <w:rPr>
        <w:rFonts w:hint="default" w:ascii="Wingdings" w:hAnsi="Wingdings"/>
      </w:rPr>
    </w:lvl>
    <w:lvl w:ilvl="4" w:tentative="0">
      <w:start w:val="1"/>
      <w:numFmt w:val="bullet"/>
      <w:lvlText w:val=""/>
      <w:lvlJc w:val="left"/>
      <w:pPr>
        <w:ind w:left="2940" w:hanging="420"/>
      </w:pPr>
      <w:rPr>
        <w:rFonts w:hint="default" w:ascii="Wingdings" w:hAnsi="Wingdings"/>
      </w:rPr>
    </w:lvl>
    <w:lvl w:ilvl="5" w:tentative="0">
      <w:start w:val="1"/>
      <w:numFmt w:val="bullet"/>
      <w:lvlText w:val=""/>
      <w:lvlJc w:val="left"/>
      <w:pPr>
        <w:ind w:left="3360" w:hanging="420"/>
      </w:pPr>
      <w:rPr>
        <w:rFonts w:hint="default" w:ascii="Wingdings" w:hAnsi="Wingdings"/>
      </w:rPr>
    </w:lvl>
    <w:lvl w:ilvl="6" w:tentative="0">
      <w:start w:val="1"/>
      <w:numFmt w:val="bullet"/>
      <w:lvlText w:val=""/>
      <w:lvlJc w:val="left"/>
      <w:pPr>
        <w:ind w:left="3780" w:hanging="420"/>
      </w:pPr>
      <w:rPr>
        <w:rFonts w:hint="default" w:ascii="Wingdings" w:hAnsi="Wingdings"/>
      </w:rPr>
    </w:lvl>
    <w:lvl w:ilvl="7" w:tentative="0">
      <w:start w:val="1"/>
      <w:numFmt w:val="bullet"/>
      <w:lvlText w:val=""/>
      <w:lvlJc w:val="left"/>
      <w:pPr>
        <w:ind w:left="4200" w:hanging="420"/>
      </w:pPr>
      <w:rPr>
        <w:rFonts w:hint="default" w:ascii="Wingdings" w:hAnsi="Wingdings"/>
      </w:rPr>
    </w:lvl>
    <w:lvl w:ilvl="8" w:tentative="0">
      <w:start w:val="1"/>
      <w:numFmt w:val="bullet"/>
      <w:lvlText w:val=""/>
      <w:lvlJc w:val="left"/>
      <w:pPr>
        <w:ind w:left="4620" w:hanging="420"/>
      </w:pPr>
      <w:rPr>
        <w:rFonts w:hint="default" w:ascii="Wingdings" w:hAnsi="Wingdings"/>
      </w:rPr>
    </w:lvl>
  </w:abstractNum>
  <w:abstractNum w:abstractNumId="2">
    <w:nsid w:val="25457AE6"/>
    <w:multiLevelType w:val="singleLevel"/>
    <w:tmpl w:val="25457AE6"/>
    <w:lvl w:ilvl="0" w:tentative="0">
      <w:start w:val="1"/>
      <w:numFmt w:val="decimalEnclosedCircleChinese"/>
      <w:suff w:val="nothing"/>
      <w:lvlText w:val="%1　"/>
      <w:lvlJc w:val="left"/>
      <w:pPr>
        <w:ind w:left="0" w:firstLine="400"/>
      </w:pPr>
      <w:rPr>
        <w:rFonts w:hint="eastAsia"/>
      </w:rPr>
    </w:lvl>
  </w:abstractNum>
  <w:abstractNum w:abstractNumId="3">
    <w:nsid w:val="2A386875"/>
    <w:multiLevelType w:val="singleLevel"/>
    <w:tmpl w:val="2A386875"/>
    <w:lvl w:ilvl="0" w:tentative="0">
      <w:start w:val="1"/>
      <w:numFmt w:val="decimalEnclosedCircleChinese"/>
      <w:suff w:val="nothing"/>
      <w:lvlText w:val="%1　"/>
      <w:lvlJc w:val="left"/>
      <w:pPr>
        <w:ind w:left="0" w:firstLine="400"/>
      </w:pPr>
      <w:rPr>
        <w:rFonts w:hint="eastAsia"/>
        <w:b w:val="0"/>
        <w:bCs/>
      </w:rPr>
    </w:lvl>
  </w:abstractNum>
  <w:abstractNum w:abstractNumId="4">
    <w:nsid w:val="3CA841FC"/>
    <w:multiLevelType w:val="multilevel"/>
    <w:tmpl w:val="3CA841F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45533BA4"/>
    <w:multiLevelType w:val="singleLevel"/>
    <w:tmpl w:val="45533BA4"/>
    <w:lvl w:ilvl="0" w:tentative="0">
      <w:start w:val="1"/>
      <w:numFmt w:val="decimalEnclosedCircleChinese"/>
      <w:suff w:val="nothing"/>
      <w:lvlText w:val="%1　"/>
      <w:lvlJc w:val="left"/>
      <w:pPr>
        <w:ind w:left="0" w:firstLine="400"/>
      </w:pPr>
      <w:rPr>
        <w:rFonts w:hint="eastAsia"/>
      </w:rPr>
    </w:lvl>
  </w:abstractNum>
  <w:abstractNum w:abstractNumId="6">
    <w:nsid w:val="483F4A20"/>
    <w:multiLevelType w:val="singleLevel"/>
    <w:tmpl w:val="483F4A20"/>
    <w:lvl w:ilvl="0" w:tentative="0">
      <w:start w:val="1"/>
      <w:numFmt w:val="decimalEnclosedCircleChinese"/>
      <w:suff w:val="nothing"/>
      <w:lvlText w:val="%1　"/>
      <w:lvlJc w:val="left"/>
      <w:pPr>
        <w:ind w:left="0" w:firstLine="400"/>
      </w:pPr>
      <w:rPr>
        <w:rFonts w:hint="eastAsia"/>
      </w:rPr>
    </w:lvl>
  </w:abstractNum>
  <w:abstractNum w:abstractNumId="7">
    <w:nsid w:val="49A21255"/>
    <w:multiLevelType w:val="singleLevel"/>
    <w:tmpl w:val="49A21255"/>
    <w:lvl w:ilvl="0" w:tentative="0">
      <w:start w:val="1"/>
      <w:numFmt w:val="decimalEnclosedCircleChinese"/>
      <w:suff w:val="nothing"/>
      <w:lvlText w:val="%1　"/>
      <w:lvlJc w:val="left"/>
      <w:pPr>
        <w:ind w:left="0" w:firstLine="400"/>
      </w:pPr>
      <w:rPr>
        <w:rFonts w:hint="eastAsia"/>
        <w:b w:val="0"/>
        <w:bCs/>
      </w:rPr>
    </w:lvl>
  </w:abstractNum>
  <w:abstractNum w:abstractNumId="8">
    <w:nsid w:val="54021F8B"/>
    <w:multiLevelType w:val="singleLevel"/>
    <w:tmpl w:val="54021F8B"/>
    <w:lvl w:ilvl="0" w:tentative="0">
      <w:start w:val="1"/>
      <w:numFmt w:val="decimalEnclosedCircleChinese"/>
      <w:suff w:val="nothing"/>
      <w:lvlText w:val="%1　"/>
      <w:lvlJc w:val="left"/>
      <w:pPr>
        <w:ind w:left="0" w:firstLine="400"/>
      </w:pPr>
      <w:rPr>
        <w:rFonts w:hint="eastAsia"/>
      </w:rPr>
    </w:lvl>
  </w:abstractNum>
  <w:abstractNum w:abstractNumId="9">
    <w:nsid w:val="58B8D0AA"/>
    <w:multiLevelType w:val="singleLevel"/>
    <w:tmpl w:val="58B8D0AA"/>
    <w:lvl w:ilvl="0" w:tentative="0">
      <w:start w:val="1"/>
      <w:numFmt w:val="decimalEnclosedCircleChinese"/>
      <w:lvlText w:val="%1　"/>
      <w:lvlJc w:val="left"/>
      <w:pPr>
        <w:ind w:left="420" w:hanging="420"/>
      </w:pPr>
      <w:rPr>
        <w:rFonts w:hint="eastAsia"/>
      </w:rPr>
    </w:lvl>
  </w:abstractNum>
  <w:abstractNum w:abstractNumId="10">
    <w:nsid w:val="58BA845F"/>
    <w:multiLevelType w:val="singleLevel"/>
    <w:tmpl w:val="58BA845F"/>
    <w:lvl w:ilvl="0" w:tentative="0">
      <w:start w:val="1"/>
      <w:numFmt w:val="decimalEnclosedCircleChinese"/>
      <w:suff w:val="nothing"/>
      <w:lvlText w:val="%1　"/>
      <w:lvlJc w:val="left"/>
      <w:pPr>
        <w:ind w:left="0" w:firstLine="400"/>
      </w:pPr>
      <w:rPr>
        <w:rFonts w:hint="eastAsia"/>
      </w:rPr>
    </w:lvl>
  </w:abstractNum>
  <w:abstractNum w:abstractNumId="11">
    <w:nsid w:val="58BA8A98"/>
    <w:multiLevelType w:val="singleLevel"/>
    <w:tmpl w:val="58BA8A98"/>
    <w:lvl w:ilvl="0" w:tentative="0">
      <w:start w:val="1"/>
      <w:numFmt w:val="decimalEnclosedCircleChinese"/>
      <w:suff w:val="nothing"/>
      <w:lvlText w:val="%1　"/>
      <w:lvlJc w:val="left"/>
      <w:pPr>
        <w:ind w:left="0" w:firstLine="400"/>
      </w:pPr>
      <w:rPr>
        <w:rFonts w:hint="eastAsia"/>
      </w:rPr>
    </w:lvl>
  </w:abstractNum>
  <w:abstractNum w:abstractNumId="12">
    <w:nsid w:val="58BC0AAB"/>
    <w:multiLevelType w:val="multilevel"/>
    <w:tmpl w:val="58BC0AAB"/>
    <w:lvl w:ilvl="0" w:tentative="0">
      <w:start w:val="1"/>
      <w:numFmt w:val="decimalEnclosedCircleChinese"/>
      <w:suff w:val="nothing"/>
      <w:lvlText w:val="%1　"/>
      <w:lvlJc w:val="left"/>
      <w:pPr>
        <w:ind w:left="0" w:firstLine="400"/>
      </w:pPr>
      <w:rPr>
        <w:rFonts w:hint="eastAsia"/>
      </w:rPr>
    </w:lvl>
    <w:lvl w:ilvl="1" w:tentative="0">
      <w:start w:val="1"/>
      <w:numFmt w:val="lowerLetter"/>
      <w:lvlText w:val="%2)"/>
      <w:lvlJc w:val="left"/>
      <w:pPr>
        <w:tabs>
          <w:tab w:val="left" w:pos="840"/>
        </w:tabs>
        <w:ind w:left="840" w:hanging="420"/>
      </w:pPr>
      <w:rPr>
        <w:rFonts w:hint="default"/>
      </w:rPr>
    </w:lvl>
    <w:lvl w:ilvl="2" w:tentative="0">
      <w:start w:val="1"/>
      <w:numFmt w:val="lowerRoman"/>
      <w:lvlText w:val="%3."/>
      <w:lvlJc w:val="left"/>
      <w:pPr>
        <w:tabs>
          <w:tab w:val="left" w:pos="1260"/>
        </w:tabs>
        <w:ind w:left="1260" w:hanging="420"/>
      </w:pPr>
      <w:rPr>
        <w:rFonts w:hint="default"/>
      </w:rPr>
    </w:lvl>
    <w:lvl w:ilvl="3" w:tentative="0">
      <w:start w:val="1"/>
      <w:numFmt w:val="decimal"/>
      <w:lvlText w:val="%4."/>
      <w:lvlJc w:val="left"/>
      <w:pPr>
        <w:tabs>
          <w:tab w:val="left" w:pos="1680"/>
        </w:tabs>
        <w:ind w:left="1680" w:hanging="420"/>
      </w:pPr>
      <w:rPr>
        <w:rFonts w:hint="default"/>
      </w:rPr>
    </w:lvl>
    <w:lvl w:ilvl="4" w:tentative="0">
      <w:start w:val="1"/>
      <w:numFmt w:val="lowerLetter"/>
      <w:lvlText w:val="%5)"/>
      <w:lvlJc w:val="left"/>
      <w:pPr>
        <w:tabs>
          <w:tab w:val="left" w:pos="2100"/>
        </w:tabs>
        <w:ind w:left="2100" w:hanging="420"/>
      </w:pPr>
      <w:rPr>
        <w:rFonts w:hint="default"/>
      </w:rPr>
    </w:lvl>
    <w:lvl w:ilvl="5" w:tentative="0">
      <w:start w:val="1"/>
      <w:numFmt w:val="lowerRoman"/>
      <w:lvlText w:val="%6."/>
      <w:lvlJc w:val="left"/>
      <w:pPr>
        <w:tabs>
          <w:tab w:val="left" w:pos="2520"/>
        </w:tabs>
        <w:ind w:left="2520" w:hanging="420"/>
      </w:pPr>
      <w:rPr>
        <w:rFonts w:hint="default"/>
      </w:rPr>
    </w:lvl>
    <w:lvl w:ilvl="6" w:tentative="0">
      <w:start w:val="1"/>
      <w:numFmt w:val="decimal"/>
      <w:lvlText w:val="%7."/>
      <w:lvlJc w:val="left"/>
      <w:pPr>
        <w:tabs>
          <w:tab w:val="left" w:pos="2940"/>
        </w:tabs>
        <w:ind w:left="2940" w:hanging="420"/>
      </w:pPr>
      <w:rPr>
        <w:rFonts w:hint="default"/>
      </w:rPr>
    </w:lvl>
    <w:lvl w:ilvl="7" w:tentative="0">
      <w:start w:val="1"/>
      <w:numFmt w:val="lowerLetter"/>
      <w:lvlText w:val="%8)"/>
      <w:lvlJc w:val="left"/>
      <w:pPr>
        <w:tabs>
          <w:tab w:val="left" w:pos="3360"/>
        </w:tabs>
        <w:ind w:left="3360" w:hanging="420"/>
      </w:pPr>
      <w:rPr>
        <w:rFonts w:hint="default"/>
      </w:rPr>
    </w:lvl>
    <w:lvl w:ilvl="8" w:tentative="0">
      <w:start w:val="1"/>
      <w:numFmt w:val="lowerRoman"/>
      <w:lvlText w:val="%9."/>
      <w:lvlJc w:val="left"/>
      <w:pPr>
        <w:tabs>
          <w:tab w:val="left" w:pos="3780"/>
        </w:tabs>
        <w:ind w:left="3780" w:hanging="420"/>
      </w:pPr>
      <w:rPr>
        <w:rFonts w:hint="default"/>
      </w:rPr>
    </w:lvl>
  </w:abstractNum>
  <w:abstractNum w:abstractNumId="13">
    <w:nsid w:val="58BC0EF4"/>
    <w:multiLevelType w:val="singleLevel"/>
    <w:tmpl w:val="58BC0EF4"/>
    <w:lvl w:ilvl="0" w:tentative="0">
      <w:start w:val="1"/>
      <w:numFmt w:val="decimalEnclosedCircleChinese"/>
      <w:suff w:val="nothing"/>
      <w:lvlText w:val="%1　"/>
      <w:lvlJc w:val="left"/>
      <w:pPr>
        <w:ind w:left="0" w:firstLine="400"/>
      </w:pPr>
      <w:rPr>
        <w:rFonts w:hint="eastAsia"/>
      </w:rPr>
    </w:lvl>
  </w:abstractNum>
  <w:abstractNum w:abstractNumId="14">
    <w:nsid w:val="58BC1164"/>
    <w:multiLevelType w:val="singleLevel"/>
    <w:tmpl w:val="58BC1164"/>
    <w:lvl w:ilvl="0" w:tentative="0">
      <w:start w:val="1"/>
      <w:numFmt w:val="decimalEnclosedCircleChinese"/>
      <w:suff w:val="nothing"/>
      <w:lvlText w:val="%1　"/>
      <w:lvlJc w:val="left"/>
      <w:pPr>
        <w:ind w:left="0" w:firstLine="400"/>
      </w:pPr>
      <w:rPr>
        <w:rFonts w:hint="eastAsia"/>
      </w:rPr>
    </w:lvl>
  </w:abstractNum>
  <w:abstractNum w:abstractNumId="15">
    <w:nsid w:val="58CEA35B"/>
    <w:multiLevelType w:val="singleLevel"/>
    <w:tmpl w:val="58CEA35B"/>
    <w:lvl w:ilvl="0" w:tentative="0">
      <w:start w:val="2"/>
      <w:numFmt w:val="decimalEnclosedCircleChinese"/>
      <w:suff w:val="nothing"/>
      <w:lvlText w:val="%1　"/>
      <w:lvlJc w:val="left"/>
      <w:pPr>
        <w:ind w:left="0" w:firstLine="400"/>
      </w:pPr>
      <w:rPr>
        <w:rFonts w:hint="eastAsia"/>
      </w:rPr>
    </w:lvl>
  </w:abstractNum>
  <w:abstractNum w:abstractNumId="16">
    <w:nsid w:val="58CF78DE"/>
    <w:multiLevelType w:val="singleLevel"/>
    <w:tmpl w:val="58CF78DE"/>
    <w:lvl w:ilvl="0" w:tentative="0">
      <w:start w:val="3"/>
      <w:numFmt w:val="decimal"/>
      <w:suff w:val="nothing"/>
      <w:lvlText w:val="%1、"/>
      <w:lvlJc w:val="left"/>
    </w:lvl>
  </w:abstractNum>
  <w:abstractNum w:abstractNumId="17">
    <w:nsid w:val="58D0824B"/>
    <w:multiLevelType w:val="singleLevel"/>
    <w:tmpl w:val="58D0824B"/>
    <w:lvl w:ilvl="0" w:tentative="0">
      <w:start w:val="4"/>
      <w:numFmt w:val="decimalEnclosedCircleChinese"/>
      <w:suff w:val="nothing"/>
      <w:lvlText w:val="%1　"/>
      <w:lvlJc w:val="left"/>
      <w:pPr>
        <w:ind w:left="0" w:firstLine="400"/>
      </w:pPr>
      <w:rPr>
        <w:rFonts w:hint="eastAsia"/>
      </w:rPr>
    </w:lvl>
  </w:abstractNum>
  <w:abstractNum w:abstractNumId="18">
    <w:nsid w:val="58D128EB"/>
    <w:multiLevelType w:val="singleLevel"/>
    <w:tmpl w:val="58D128EB"/>
    <w:lvl w:ilvl="0" w:tentative="0">
      <w:start w:val="1"/>
      <w:numFmt w:val="decimalEnclosedCircleChinese"/>
      <w:suff w:val="nothing"/>
      <w:lvlText w:val="%1　"/>
      <w:lvlJc w:val="left"/>
      <w:pPr>
        <w:ind w:left="0" w:firstLine="400"/>
      </w:pPr>
      <w:rPr>
        <w:rFonts w:hint="eastAsia"/>
      </w:rPr>
    </w:lvl>
  </w:abstractNum>
  <w:abstractNum w:abstractNumId="19">
    <w:nsid w:val="58D12CD6"/>
    <w:multiLevelType w:val="singleLevel"/>
    <w:tmpl w:val="58D12CD6"/>
    <w:lvl w:ilvl="0" w:tentative="0">
      <w:start w:val="1"/>
      <w:numFmt w:val="decimalEnclosedCircleChinese"/>
      <w:suff w:val="nothing"/>
      <w:lvlText w:val="%1　"/>
      <w:lvlJc w:val="left"/>
      <w:pPr>
        <w:ind w:left="0" w:firstLine="400"/>
      </w:pPr>
      <w:rPr>
        <w:rFonts w:hint="eastAsia"/>
      </w:rPr>
    </w:lvl>
  </w:abstractNum>
  <w:abstractNum w:abstractNumId="20">
    <w:nsid w:val="58D4DC88"/>
    <w:multiLevelType w:val="singleLevel"/>
    <w:tmpl w:val="58D4DC88"/>
    <w:lvl w:ilvl="0" w:tentative="0">
      <w:start w:val="2"/>
      <w:numFmt w:val="decimal"/>
      <w:suff w:val="nothing"/>
      <w:lvlText w:val="%1、"/>
      <w:lvlJc w:val="left"/>
    </w:lvl>
  </w:abstractNum>
  <w:abstractNum w:abstractNumId="21">
    <w:nsid w:val="597C55B0"/>
    <w:multiLevelType w:val="singleLevel"/>
    <w:tmpl w:val="597C55B0"/>
    <w:lvl w:ilvl="0" w:tentative="0">
      <w:start w:val="1"/>
      <w:numFmt w:val="decimalEnclosedCircleChinese"/>
      <w:suff w:val="nothing"/>
      <w:lvlText w:val="%1　"/>
      <w:lvlJc w:val="left"/>
      <w:pPr>
        <w:ind w:left="0" w:firstLine="400"/>
      </w:pPr>
      <w:rPr>
        <w:rFonts w:hint="eastAsia"/>
      </w:rPr>
    </w:lvl>
  </w:abstractNum>
  <w:abstractNum w:abstractNumId="22">
    <w:nsid w:val="597C56DD"/>
    <w:multiLevelType w:val="singleLevel"/>
    <w:tmpl w:val="597C56DD"/>
    <w:lvl w:ilvl="0" w:tentative="0">
      <w:start w:val="1"/>
      <w:numFmt w:val="decimalEnclosedCircleChinese"/>
      <w:suff w:val="nothing"/>
      <w:lvlText w:val="%1　"/>
      <w:lvlJc w:val="left"/>
      <w:pPr>
        <w:ind w:left="0" w:firstLine="400"/>
      </w:pPr>
      <w:rPr>
        <w:rFonts w:hint="eastAsia"/>
      </w:rPr>
    </w:lvl>
  </w:abstractNum>
  <w:abstractNum w:abstractNumId="23">
    <w:nsid w:val="5F3408A8"/>
    <w:multiLevelType w:val="multilevel"/>
    <w:tmpl w:val="5F3408A8"/>
    <w:lvl w:ilvl="0" w:tentative="0">
      <w:start w:val="1"/>
      <w:numFmt w:val="bullet"/>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24">
    <w:nsid w:val="670616FD"/>
    <w:multiLevelType w:val="singleLevel"/>
    <w:tmpl w:val="670616FD"/>
    <w:lvl w:ilvl="0" w:tentative="0">
      <w:start w:val="1"/>
      <w:numFmt w:val="decimalEnclosedCircleChinese"/>
      <w:suff w:val="nothing"/>
      <w:lvlText w:val="%1　"/>
      <w:lvlJc w:val="left"/>
      <w:pPr>
        <w:ind w:left="0" w:firstLine="400"/>
      </w:pPr>
      <w:rPr>
        <w:rFonts w:hint="eastAsia"/>
        <w:b w:val="0"/>
        <w:bCs/>
      </w:rPr>
    </w:lvl>
  </w:abstractNum>
  <w:abstractNum w:abstractNumId="25">
    <w:nsid w:val="677659DD"/>
    <w:multiLevelType w:val="multilevel"/>
    <w:tmpl w:val="677659DD"/>
    <w:lvl w:ilvl="0" w:tentative="0">
      <w:start w:val="1"/>
      <w:numFmt w:val="decimal"/>
      <w:pStyle w:val="2"/>
      <w:suff w:val="space"/>
      <w:lvlText w:val="%1．"/>
      <w:lvlJc w:val="left"/>
      <w:pPr>
        <w:ind w:left="0" w:firstLine="0"/>
      </w:pPr>
      <w:rPr>
        <w:rFonts w:hint="default"/>
      </w:rPr>
    </w:lvl>
    <w:lvl w:ilvl="1" w:tentative="0">
      <w:start w:val="1"/>
      <w:numFmt w:val="decimal"/>
      <w:pStyle w:val="3"/>
      <w:suff w:val="space"/>
      <w:lvlText w:val="%1.%2"/>
      <w:lvlJc w:val="left"/>
      <w:pPr>
        <w:ind w:left="0" w:firstLine="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26">
    <w:nsid w:val="70402165"/>
    <w:multiLevelType w:val="multilevel"/>
    <w:tmpl w:val="70402165"/>
    <w:lvl w:ilvl="0" w:tentative="0">
      <w:start w:val="1"/>
      <w:numFmt w:val="decimal"/>
      <w:suff w:val="space"/>
      <w:lvlText w:val="%1、"/>
      <w:lvlJc w:val="left"/>
      <w:pPr>
        <w:ind w:left="0" w:firstLine="0"/>
      </w:pPr>
      <w:rPr>
        <w:rFonts w:hint="eastAsia"/>
      </w:rPr>
    </w:lvl>
    <w:lvl w:ilvl="1" w:tentative="0">
      <w:start w:val="2"/>
      <w:numFmt w:val="none"/>
      <w:lvlRestart w:val="0"/>
      <w:suff w:val="space"/>
      <w:lvlText w:val="%2)"/>
      <w:lvlJc w:val="left"/>
      <w:pPr>
        <w:ind w:left="0" w:firstLine="0"/>
      </w:pPr>
      <w:rPr>
        <w:rFonts w:hint="eastAsia"/>
      </w:rPr>
    </w:lvl>
    <w:lvl w:ilvl="2" w:tentative="0">
      <w:start w:val="1"/>
      <w:numFmt w:val="lowerRoman"/>
      <w:pStyle w:val="4"/>
      <w:suff w:val="space"/>
      <w:lvlText w:val="%3."/>
      <w:lvlJc w:val="right"/>
      <w:pPr>
        <w:ind w:left="0" w:firstLine="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num w:numId="1">
    <w:abstractNumId w:val="25"/>
  </w:num>
  <w:num w:numId="2">
    <w:abstractNumId w:val="26"/>
  </w:num>
  <w:num w:numId="3">
    <w:abstractNumId w:val="9"/>
  </w:num>
  <w:num w:numId="4">
    <w:abstractNumId w:val="20"/>
  </w:num>
  <w:num w:numId="5">
    <w:abstractNumId w:val="16"/>
  </w:num>
  <w:num w:numId="6">
    <w:abstractNumId w:val="4"/>
  </w:num>
  <w:num w:numId="7">
    <w:abstractNumId w:val="23"/>
  </w:num>
  <w:num w:numId="8">
    <w:abstractNumId w:val="1"/>
  </w:num>
  <w:num w:numId="9">
    <w:abstractNumId w:val="10"/>
  </w:num>
  <w:num w:numId="10">
    <w:abstractNumId w:val="7"/>
  </w:num>
  <w:num w:numId="11">
    <w:abstractNumId w:val="24"/>
  </w:num>
  <w:num w:numId="12">
    <w:abstractNumId w:val="0"/>
  </w:num>
  <w:num w:numId="13">
    <w:abstractNumId w:val="11"/>
  </w:num>
  <w:num w:numId="14">
    <w:abstractNumId w:val="3"/>
  </w:num>
  <w:num w:numId="15">
    <w:abstractNumId w:val="21"/>
  </w:num>
  <w:num w:numId="16">
    <w:abstractNumId w:val="5"/>
  </w:num>
  <w:num w:numId="17">
    <w:abstractNumId w:val="18"/>
  </w:num>
  <w:num w:numId="18">
    <w:abstractNumId w:val="12"/>
  </w:num>
  <w:num w:numId="19">
    <w:abstractNumId w:val="17"/>
  </w:num>
  <w:num w:numId="20">
    <w:abstractNumId w:val="19"/>
  </w:num>
  <w:num w:numId="21">
    <w:abstractNumId w:val="13"/>
  </w:num>
  <w:num w:numId="22">
    <w:abstractNumId w:val="8"/>
  </w:num>
  <w:num w:numId="23">
    <w:abstractNumId w:val="14"/>
  </w:num>
  <w:num w:numId="24">
    <w:abstractNumId w:val="22"/>
  </w:num>
  <w:num w:numId="25">
    <w:abstractNumId w:val="15"/>
  </w:num>
  <w:num w:numId="26">
    <w:abstractNumId w:val="2"/>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doNotTrackMoves/>
  <w:documentProtection w:enforcement="0"/>
  <w:defaultTabStop w:val="420"/>
  <w:evenAndOddHeaders w:val="1"/>
  <w:drawingGridHorizontalSpacing w:val="105"/>
  <w:drawingGridVerticalSpacing w:val="164"/>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26624"/>
    <w:rsid w:val="000018D3"/>
    <w:rsid w:val="000024F2"/>
    <w:rsid w:val="000035FA"/>
    <w:rsid w:val="000053EE"/>
    <w:rsid w:val="00012620"/>
    <w:rsid w:val="00021886"/>
    <w:rsid w:val="0002276C"/>
    <w:rsid w:val="00022827"/>
    <w:rsid w:val="000310F9"/>
    <w:rsid w:val="00035657"/>
    <w:rsid w:val="00040400"/>
    <w:rsid w:val="000421E4"/>
    <w:rsid w:val="0004335F"/>
    <w:rsid w:val="0004443B"/>
    <w:rsid w:val="00047B50"/>
    <w:rsid w:val="000524EF"/>
    <w:rsid w:val="000541CB"/>
    <w:rsid w:val="0005476A"/>
    <w:rsid w:val="00056E44"/>
    <w:rsid w:val="00061F22"/>
    <w:rsid w:val="00061F87"/>
    <w:rsid w:val="00062AD7"/>
    <w:rsid w:val="00062BDA"/>
    <w:rsid w:val="00067D54"/>
    <w:rsid w:val="000700EB"/>
    <w:rsid w:val="000703AF"/>
    <w:rsid w:val="00073201"/>
    <w:rsid w:val="00073A33"/>
    <w:rsid w:val="00074188"/>
    <w:rsid w:val="0007757D"/>
    <w:rsid w:val="000842EA"/>
    <w:rsid w:val="00084B4E"/>
    <w:rsid w:val="00084E11"/>
    <w:rsid w:val="00086DC7"/>
    <w:rsid w:val="000921AF"/>
    <w:rsid w:val="00092C36"/>
    <w:rsid w:val="000A063E"/>
    <w:rsid w:val="000A105A"/>
    <w:rsid w:val="000A2F10"/>
    <w:rsid w:val="000A4B63"/>
    <w:rsid w:val="000A4DA8"/>
    <w:rsid w:val="000A5137"/>
    <w:rsid w:val="000B0BFA"/>
    <w:rsid w:val="000B2F3D"/>
    <w:rsid w:val="000B60FE"/>
    <w:rsid w:val="000B6DD3"/>
    <w:rsid w:val="000B78AC"/>
    <w:rsid w:val="000C5279"/>
    <w:rsid w:val="000C6359"/>
    <w:rsid w:val="000C79A5"/>
    <w:rsid w:val="000D0C31"/>
    <w:rsid w:val="000D6698"/>
    <w:rsid w:val="000E01EA"/>
    <w:rsid w:val="000E08B3"/>
    <w:rsid w:val="000E221A"/>
    <w:rsid w:val="000E249D"/>
    <w:rsid w:val="000E4C48"/>
    <w:rsid w:val="000E6436"/>
    <w:rsid w:val="000F0DC5"/>
    <w:rsid w:val="000F7396"/>
    <w:rsid w:val="0010164A"/>
    <w:rsid w:val="00101B8A"/>
    <w:rsid w:val="001023FB"/>
    <w:rsid w:val="0010383F"/>
    <w:rsid w:val="001050D9"/>
    <w:rsid w:val="0011771F"/>
    <w:rsid w:val="001221BC"/>
    <w:rsid w:val="00123B57"/>
    <w:rsid w:val="00124F91"/>
    <w:rsid w:val="0013156D"/>
    <w:rsid w:val="00132BF1"/>
    <w:rsid w:val="00133FDA"/>
    <w:rsid w:val="00136FD3"/>
    <w:rsid w:val="00142A0C"/>
    <w:rsid w:val="001459D4"/>
    <w:rsid w:val="00156016"/>
    <w:rsid w:val="0015746C"/>
    <w:rsid w:val="00162B41"/>
    <w:rsid w:val="001636BE"/>
    <w:rsid w:val="0016427C"/>
    <w:rsid w:val="00164E79"/>
    <w:rsid w:val="00167D9D"/>
    <w:rsid w:val="00172EEA"/>
    <w:rsid w:val="00174786"/>
    <w:rsid w:val="0018192B"/>
    <w:rsid w:val="0018469D"/>
    <w:rsid w:val="0018615D"/>
    <w:rsid w:val="00191768"/>
    <w:rsid w:val="00191E22"/>
    <w:rsid w:val="00192B0E"/>
    <w:rsid w:val="00193FC6"/>
    <w:rsid w:val="00194490"/>
    <w:rsid w:val="001A12AE"/>
    <w:rsid w:val="001A16BE"/>
    <w:rsid w:val="001A39A2"/>
    <w:rsid w:val="001A63A3"/>
    <w:rsid w:val="001A6670"/>
    <w:rsid w:val="001A74B5"/>
    <w:rsid w:val="001B0D2A"/>
    <w:rsid w:val="001B1F98"/>
    <w:rsid w:val="001B37F9"/>
    <w:rsid w:val="001B3E08"/>
    <w:rsid w:val="001B63A3"/>
    <w:rsid w:val="001C0C48"/>
    <w:rsid w:val="001C3D85"/>
    <w:rsid w:val="001C3E0B"/>
    <w:rsid w:val="001C610B"/>
    <w:rsid w:val="001C770F"/>
    <w:rsid w:val="001D0E6B"/>
    <w:rsid w:val="001D2973"/>
    <w:rsid w:val="001D36A2"/>
    <w:rsid w:val="001D457C"/>
    <w:rsid w:val="001D7784"/>
    <w:rsid w:val="001E2295"/>
    <w:rsid w:val="001E273B"/>
    <w:rsid w:val="001E2FE9"/>
    <w:rsid w:val="001E5161"/>
    <w:rsid w:val="001E5328"/>
    <w:rsid w:val="001F0942"/>
    <w:rsid w:val="001F4513"/>
    <w:rsid w:val="002011CC"/>
    <w:rsid w:val="00201616"/>
    <w:rsid w:val="002042E0"/>
    <w:rsid w:val="0020472D"/>
    <w:rsid w:val="00210D87"/>
    <w:rsid w:val="00214107"/>
    <w:rsid w:val="00215FBE"/>
    <w:rsid w:val="002225E0"/>
    <w:rsid w:val="0022262B"/>
    <w:rsid w:val="0022631A"/>
    <w:rsid w:val="00232366"/>
    <w:rsid w:val="00233F37"/>
    <w:rsid w:val="00235FD1"/>
    <w:rsid w:val="00240F98"/>
    <w:rsid w:val="00241552"/>
    <w:rsid w:val="002426A6"/>
    <w:rsid w:val="002428ED"/>
    <w:rsid w:val="002444F8"/>
    <w:rsid w:val="00250C02"/>
    <w:rsid w:val="00251738"/>
    <w:rsid w:val="00253AE9"/>
    <w:rsid w:val="002622C2"/>
    <w:rsid w:val="00264031"/>
    <w:rsid w:val="00266890"/>
    <w:rsid w:val="00270531"/>
    <w:rsid w:val="00275013"/>
    <w:rsid w:val="002755F3"/>
    <w:rsid w:val="00275FB9"/>
    <w:rsid w:val="00280350"/>
    <w:rsid w:val="0028036B"/>
    <w:rsid w:val="00282ADA"/>
    <w:rsid w:val="00284A82"/>
    <w:rsid w:val="002853C5"/>
    <w:rsid w:val="00286D82"/>
    <w:rsid w:val="002927CC"/>
    <w:rsid w:val="00295DE8"/>
    <w:rsid w:val="002A06F0"/>
    <w:rsid w:val="002A1990"/>
    <w:rsid w:val="002A1D22"/>
    <w:rsid w:val="002A38CF"/>
    <w:rsid w:val="002A4DEC"/>
    <w:rsid w:val="002A77AE"/>
    <w:rsid w:val="002B0717"/>
    <w:rsid w:val="002B1C21"/>
    <w:rsid w:val="002B4EA3"/>
    <w:rsid w:val="002C064A"/>
    <w:rsid w:val="002C15D0"/>
    <w:rsid w:val="002D6249"/>
    <w:rsid w:val="002E14B9"/>
    <w:rsid w:val="002E4039"/>
    <w:rsid w:val="002F2A0F"/>
    <w:rsid w:val="002F3953"/>
    <w:rsid w:val="00301FAB"/>
    <w:rsid w:val="0031427C"/>
    <w:rsid w:val="003172BD"/>
    <w:rsid w:val="00322018"/>
    <w:rsid w:val="00323BDE"/>
    <w:rsid w:val="00324A97"/>
    <w:rsid w:val="0032623A"/>
    <w:rsid w:val="003265B3"/>
    <w:rsid w:val="003332FA"/>
    <w:rsid w:val="00340C46"/>
    <w:rsid w:val="00340D80"/>
    <w:rsid w:val="00341206"/>
    <w:rsid w:val="00343A32"/>
    <w:rsid w:val="00351AC5"/>
    <w:rsid w:val="003570B1"/>
    <w:rsid w:val="00364D1D"/>
    <w:rsid w:val="00364F19"/>
    <w:rsid w:val="00371621"/>
    <w:rsid w:val="00371DC9"/>
    <w:rsid w:val="00376224"/>
    <w:rsid w:val="00377119"/>
    <w:rsid w:val="003840A4"/>
    <w:rsid w:val="00395C83"/>
    <w:rsid w:val="003A0E03"/>
    <w:rsid w:val="003A2754"/>
    <w:rsid w:val="003A6EA1"/>
    <w:rsid w:val="003A73BE"/>
    <w:rsid w:val="003A7FED"/>
    <w:rsid w:val="003B3C6E"/>
    <w:rsid w:val="003B7FDF"/>
    <w:rsid w:val="003C3DD8"/>
    <w:rsid w:val="003C3EFC"/>
    <w:rsid w:val="003D5573"/>
    <w:rsid w:val="003D55D4"/>
    <w:rsid w:val="003D612F"/>
    <w:rsid w:val="003D768B"/>
    <w:rsid w:val="003E043F"/>
    <w:rsid w:val="003E1E7B"/>
    <w:rsid w:val="003E2696"/>
    <w:rsid w:val="003E3505"/>
    <w:rsid w:val="003E4E30"/>
    <w:rsid w:val="003E526C"/>
    <w:rsid w:val="003F3F1E"/>
    <w:rsid w:val="003F5F49"/>
    <w:rsid w:val="003F70F6"/>
    <w:rsid w:val="003F7EC4"/>
    <w:rsid w:val="00400C6C"/>
    <w:rsid w:val="00404632"/>
    <w:rsid w:val="004077D0"/>
    <w:rsid w:val="0041008B"/>
    <w:rsid w:val="00413853"/>
    <w:rsid w:val="00413AE2"/>
    <w:rsid w:val="00414804"/>
    <w:rsid w:val="00415331"/>
    <w:rsid w:val="0041630F"/>
    <w:rsid w:val="00416959"/>
    <w:rsid w:val="00420993"/>
    <w:rsid w:val="0042115B"/>
    <w:rsid w:val="004278BA"/>
    <w:rsid w:val="00432F1F"/>
    <w:rsid w:val="00437570"/>
    <w:rsid w:val="00441CBF"/>
    <w:rsid w:val="00444CE2"/>
    <w:rsid w:val="004503DD"/>
    <w:rsid w:val="0045072D"/>
    <w:rsid w:val="00452827"/>
    <w:rsid w:val="004532DB"/>
    <w:rsid w:val="0045460A"/>
    <w:rsid w:val="0045554D"/>
    <w:rsid w:val="00457F6F"/>
    <w:rsid w:val="004633B7"/>
    <w:rsid w:val="0046387F"/>
    <w:rsid w:val="00470568"/>
    <w:rsid w:val="00470AC1"/>
    <w:rsid w:val="00470E64"/>
    <w:rsid w:val="0047177B"/>
    <w:rsid w:val="0047229C"/>
    <w:rsid w:val="00472575"/>
    <w:rsid w:val="00472ED1"/>
    <w:rsid w:val="00474025"/>
    <w:rsid w:val="0047549B"/>
    <w:rsid w:val="0048216B"/>
    <w:rsid w:val="00483B99"/>
    <w:rsid w:val="004840B0"/>
    <w:rsid w:val="00497A4B"/>
    <w:rsid w:val="004A00A5"/>
    <w:rsid w:val="004A14E4"/>
    <w:rsid w:val="004A15F2"/>
    <w:rsid w:val="004A20C8"/>
    <w:rsid w:val="004A2703"/>
    <w:rsid w:val="004A2A24"/>
    <w:rsid w:val="004A6936"/>
    <w:rsid w:val="004B1E5D"/>
    <w:rsid w:val="004B512C"/>
    <w:rsid w:val="004B7C8D"/>
    <w:rsid w:val="004C2A4A"/>
    <w:rsid w:val="004C3BC7"/>
    <w:rsid w:val="004C55BC"/>
    <w:rsid w:val="004C6880"/>
    <w:rsid w:val="004C7988"/>
    <w:rsid w:val="004D2FAB"/>
    <w:rsid w:val="004D63E4"/>
    <w:rsid w:val="004E048B"/>
    <w:rsid w:val="004E1039"/>
    <w:rsid w:val="004E4516"/>
    <w:rsid w:val="004E6AF5"/>
    <w:rsid w:val="004E6B4A"/>
    <w:rsid w:val="004F087E"/>
    <w:rsid w:val="004F4ABE"/>
    <w:rsid w:val="004F4EE9"/>
    <w:rsid w:val="004F51A4"/>
    <w:rsid w:val="004F6DFB"/>
    <w:rsid w:val="0051034F"/>
    <w:rsid w:val="005117F8"/>
    <w:rsid w:val="00516929"/>
    <w:rsid w:val="005244B4"/>
    <w:rsid w:val="00525592"/>
    <w:rsid w:val="00535F27"/>
    <w:rsid w:val="005361BA"/>
    <w:rsid w:val="00540135"/>
    <w:rsid w:val="00540604"/>
    <w:rsid w:val="00542231"/>
    <w:rsid w:val="00543EA0"/>
    <w:rsid w:val="00544D4F"/>
    <w:rsid w:val="0055118C"/>
    <w:rsid w:val="0056617D"/>
    <w:rsid w:val="00574E86"/>
    <w:rsid w:val="00575ED9"/>
    <w:rsid w:val="00586066"/>
    <w:rsid w:val="00590430"/>
    <w:rsid w:val="00590C21"/>
    <w:rsid w:val="005920B8"/>
    <w:rsid w:val="00595F82"/>
    <w:rsid w:val="005A41E7"/>
    <w:rsid w:val="005A4223"/>
    <w:rsid w:val="005A4421"/>
    <w:rsid w:val="005A7AE1"/>
    <w:rsid w:val="005B12D0"/>
    <w:rsid w:val="005B19E2"/>
    <w:rsid w:val="005B2E2B"/>
    <w:rsid w:val="005B55F9"/>
    <w:rsid w:val="005C71BD"/>
    <w:rsid w:val="005C7CD7"/>
    <w:rsid w:val="005D30C2"/>
    <w:rsid w:val="005D3682"/>
    <w:rsid w:val="005E0188"/>
    <w:rsid w:val="005E0545"/>
    <w:rsid w:val="005E06CA"/>
    <w:rsid w:val="005E4564"/>
    <w:rsid w:val="005E5E2F"/>
    <w:rsid w:val="005F0252"/>
    <w:rsid w:val="005F084B"/>
    <w:rsid w:val="005F0CA9"/>
    <w:rsid w:val="005F66BE"/>
    <w:rsid w:val="005F75AE"/>
    <w:rsid w:val="00604BCC"/>
    <w:rsid w:val="00611F0E"/>
    <w:rsid w:val="00613374"/>
    <w:rsid w:val="00614D81"/>
    <w:rsid w:val="00623422"/>
    <w:rsid w:val="00623BA1"/>
    <w:rsid w:val="0062501E"/>
    <w:rsid w:val="00626F7A"/>
    <w:rsid w:val="006359CE"/>
    <w:rsid w:val="00641AD8"/>
    <w:rsid w:val="006457B2"/>
    <w:rsid w:val="0065134C"/>
    <w:rsid w:val="0065226D"/>
    <w:rsid w:val="00662AC2"/>
    <w:rsid w:val="006651B5"/>
    <w:rsid w:val="00670A75"/>
    <w:rsid w:val="00671B4F"/>
    <w:rsid w:val="006722B4"/>
    <w:rsid w:val="00672D10"/>
    <w:rsid w:val="00673D95"/>
    <w:rsid w:val="00675C60"/>
    <w:rsid w:val="006766CF"/>
    <w:rsid w:val="0068014F"/>
    <w:rsid w:val="0068414C"/>
    <w:rsid w:val="00686E74"/>
    <w:rsid w:val="0069125A"/>
    <w:rsid w:val="00695B92"/>
    <w:rsid w:val="0069643E"/>
    <w:rsid w:val="0069711F"/>
    <w:rsid w:val="006A3DD7"/>
    <w:rsid w:val="006A649B"/>
    <w:rsid w:val="006B2496"/>
    <w:rsid w:val="006B6C7A"/>
    <w:rsid w:val="006B76DA"/>
    <w:rsid w:val="006B7EA2"/>
    <w:rsid w:val="006C0696"/>
    <w:rsid w:val="006C12A5"/>
    <w:rsid w:val="006C7BBC"/>
    <w:rsid w:val="006D021E"/>
    <w:rsid w:val="006D2810"/>
    <w:rsid w:val="006D2890"/>
    <w:rsid w:val="006E0F9B"/>
    <w:rsid w:val="006E4118"/>
    <w:rsid w:val="006F556E"/>
    <w:rsid w:val="00702DDC"/>
    <w:rsid w:val="00703F2E"/>
    <w:rsid w:val="0070549D"/>
    <w:rsid w:val="007056AE"/>
    <w:rsid w:val="00710A3E"/>
    <w:rsid w:val="00711577"/>
    <w:rsid w:val="00717AC1"/>
    <w:rsid w:val="00721C6F"/>
    <w:rsid w:val="007231AC"/>
    <w:rsid w:val="00725425"/>
    <w:rsid w:val="00725F42"/>
    <w:rsid w:val="00733370"/>
    <w:rsid w:val="00736DBB"/>
    <w:rsid w:val="00737ECA"/>
    <w:rsid w:val="00741B30"/>
    <w:rsid w:val="00742543"/>
    <w:rsid w:val="0074284D"/>
    <w:rsid w:val="00745BC7"/>
    <w:rsid w:val="007470D6"/>
    <w:rsid w:val="00755ACF"/>
    <w:rsid w:val="0076172A"/>
    <w:rsid w:val="00762D8F"/>
    <w:rsid w:val="0076405E"/>
    <w:rsid w:val="00765626"/>
    <w:rsid w:val="00765F67"/>
    <w:rsid w:val="00766019"/>
    <w:rsid w:val="00766FC1"/>
    <w:rsid w:val="007705D3"/>
    <w:rsid w:val="00771FE7"/>
    <w:rsid w:val="00774A4B"/>
    <w:rsid w:val="00780409"/>
    <w:rsid w:val="00781543"/>
    <w:rsid w:val="00783CCC"/>
    <w:rsid w:val="00792EC1"/>
    <w:rsid w:val="007A1F9A"/>
    <w:rsid w:val="007A62EE"/>
    <w:rsid w:val="007B274C"/>
    <w:rsid w:val="007B410F"/>
    <w:rsid w:val="007B6D76"/>
    <w:rsid w:val="007B780C"/>
    <w:rsid w:val="007C0B1D"/>
    <w:rsid w:val="007C2D93"/>
    <w:rsid w:val="007D3227"/>
    <w:rsid w:val="007D4277"/>
    <w:rsid w:val="007D44AD"/>
    <w:rsid w:val="007E3033"/>
    <w:rsid w:val="007E4EB8"/>
    <w:rsid w:val="007F5276"/>
    <w:rsid w:val="008011DC"/>
    <w:rsid w:val="008021C2"/>
    <w:rsid w:val="0080271D"/>
    <w:rsid w:val="00806239"/>
    <w:rsid w:val="00806C40"/>
    <w:rsid w:val="00806EC7"/>
    <w:rsid w:val="00812DAA"/>
    <w:rsid w:val="0082028C"/>
    <w:rsid w:val="008203F2"/>
    <w:rsid w:val="0082292B"/>
    <w:rsid w:val="00823724"/>
    <w:rsid w:val="00826624"/>
    <w:rsid w:val="00826877"/>
    <w:rsid w:val="00832078"/>
    <w:rsid w:val="00832984"/>
    <w:rsid w:val="00833A02"/>
    <w:rsid w:val="00840DE6"/>
    <w:rsid w:val="00841159"/>
    <w:rsid w:val="008419E1"/>
    <w:rsid w:val="00841B59"/>
    <w:rsid w:val="00850C54"/>
    <w:rsid w:val="00852E92"/>
    <w:rsid w:val="00853A93"/>
    <w:rsid w:val="00855B0C"/>
    <w:rsid w:val="008567F9"/>
    <w:rsid w:val="00860E1D"/>
    <w:rsid w:val="00863FDF"/>
    <w:rsid w:val="00870EF6"/>
    <w:rsid w:val="00871DD9"/>
    <w:rsid w:val="008732BF"/>
    <w:rsid w:val="008738B8"/>
    <w:rsid w:val="008776BA"/>
    <w:rsid w:val="00880B7A"/>
    <w:rsid w:val="00893D76"/>
    <w:rsid w:val="0089731F"/>
    <w:rsid w:val="008A22BD"/>
    <w:rsid w:val="008A24C8"/>
    <w:rsid w:val="008A365E"/>
    <w:rsid w:val="008A752C"/>
    <w:rsid w:val="008B155F"/>
    <w:rsid w:val="008B2261"/>
    <w:rsid w:val="008B47F2"/>
    <w:rsid w:val="008B4D13"/>
    <w:rsid w:val="008C4F2F"/>
    <w:rsid w:val="008E313C"/>
    <w:rsid w:val="008E4CB2"/>
    <w:rsid w:val="008F60A1"/>
    <w:rsid w:val="008F6B09"/>
    <w:rsid w:val="008F7FBD"/>
    <w:rsid w:val="00901B5E"/>
    <w:rsid w:val="00901B95"/>
    <w:rsid w:val="00902AAC"/>
    <w:rsid w:val="00902E61"/>
    <w:rsid w:val="00904F6B"/>
    <w:rsid w:val="00907D37"/>
    <w:rsid w:val="0091272B"/>
    <w:rsid w:val="00912D4F"/>
    <w:rsid w:val="0091478B"/>
    <w:rsid w:val="00921B75"/>
    <w:rsid w:val="00921DD7"/>
    <w:rsid w:val="009220B7"/>
    <w:rsid w:val="00923E6A"/>
    <w:rsid w:val="00925066"/>
    <w:rsid w:val="00926103"/>
    <w:rsid w:val="0093026E"/>
    <w:rsid w:val="009307B4"/>
    <w:rsid w:val="00931846"/>
    <w:rsid w:val="00951B66"/>
    <w:rsid w:val="0095212B"/>
    <w:rsid w:val="009542FC"/>
    <w:rsid w:val="0095469C"/>
    <w:rsid w:val="00964481"/>
    <w:rsid w:val="0096542D"/>
    <w:rsid w:val="00975ABA"/>
    <w:rsid w:val="00980C86"/>
    <w:rsid w:val="00986080"/>
    <w:rsid w:val="0098773F"/>
    <w:rsid w:val="009C5446"/>
    <w:rsid w:val="009C54B0"/>
    <w:rsid w:val="009D2720"/>
    <w:rsid w:val="009D5513"/>
    <w:rsid w:val="009D55A9"/>
    <w:rsid w:val="009D61F0"/>
    <w:rsid w:val="009D62AE"/>
    <w:rsid w:val="009D66C2"/>
    <w:rsid w:val="009D6F8E"/>
    <w:rsid w:val="009E201E"/>
    <w:rsid w:val="009E47E0"/>
    <w:rsid w:val="009E5433"/>
    <w:rsid w:val="009E602B"/>
    <w:rsid w:val="009E71F8"/>
    <w:rsid w:val="009F0227"/>
    <w:rsid w:val="009F641D"/>
    <w:rsid w:val="009F6E8E"/>
    <w:rsid w:val="009F76A9"/>
    <w:rsid w:val="009F7912"/>
    <w:rsid w:val="00A05845"/>
    <w:rsid w:val="00A066FC"/>
    <w:rsid w:val="00A1631F"/>
    <w:rsid w:val="00A16522"/>
    <w:rsid w:val="00A1781B"/>
    <w:rsid w:val="00A17C5F"/>
    <w:rsid w:val="00A20D1B"/>
    <w:rsid w:val="00A27287"/>
    <w:rsid w:val="00A31807"/>
    <w:rsid w:val="00A31D57"/>
    <w:rsid w:val="00A35123"/>
    <w:rsid w:val="00A46EC1"/>
    <w:rsid w:val="00A47D61"/>
    <w:rsid w:val="00A53E8B"/>
    <w:rsid w:val="00A5555A"/>
    <w:rsid w:val="00A57296"/>
    <w:rsid w:val="00A6310B"/>
    <w:rsid w:val="00A70EFD"/>
    <w:rsid w:val="00A75EF6"/>
    <w:rsid w:val="00A81010"/>
    <w:rsid w:val="00A81907"/>
    <w:rsid w:val="00A83C69"/>
    <w:rsid w:val="00A87AED"/>
    <w:rsid w:val="00A91731"/>
    <w:rsid w:val="00A91976"/>
    <w:rsid w:val="00A925BA"/>
    <w:rsid w:val="00A929AE"/>
    <w:rsid w:val="00A94A46"/>
    <w:rsid w:val="00A9506D"/>
    <w:rsid w:val="00A9706F"/>
    <w:rsid w:val="00AA3B59"/>
    <w:rsid w:val="00AA7CED"/>
    <w:rsid w:val="00AB332C"/>
    <w:rsid w:val="00AB3FD7"/>
    <w:rsid w:val="00AB4E25"/>
    <w:rsid w:val="00AB5E48"/>
    <w:rsid w:val="00AD157B"/>
    <w:rsid w:val="00AD1763"/>
    <w:rsid w:val="00AD1B75"/>
    <w:rsid w:val="00AD3640"/>
    <w:rsid w:val="00AD5624"/>
    <w:rsid w:val="00AD768A"/>
    <w:rsid w:val="00AE081B"/>
    <w:rsid w:val="00AE198B"/>
    <w:rsid w:val="00AE301D"/>
    <w:rsid w:val="00AE3572"/>
    <w:rsid w:val="00AF245A"/>
    <w:rsid w:val="00AF330B"/>
    <w:rsid w:val="00AF7A4E"/>
    <w:rsid w:val="00B015DF"/>
    <w:rsid w:val="00B0452F"/>
    <w:rsid w:val="00B04B60"/>
    <w:rsid w:val="00B1166E"/>
    <w:rsid w:val="00B15292"/>
    <w:rsid w:val="00B16019"/>
    <w:rsid w:val="00B2184C"/>
    <w:rsid w:val="00B22C48"/>
    <w:rsid w:val="00B27DBB"/>
    <w:rsid w:val="00B326EE"/>
    <w:rsid w:val="00B327DA"/>
    <w:rsid w:val="00B35E42"/>
    <w:rsid w:val="00B42005"/>
    <w:rsid w:val="00B420AE"/>
    <w:rsid w:val="00B5005C"/>
    <w:rsid w:val="00B5711C"/>
    <w:rsid w:val="00B6081A"/>
    <w:rsid w:val="00B62637"/>
    <w:rsid w:val="00B6635F"/>
    <w:rsid w:val="00B6764A"/>
    <w:rsid w:val="00B71942"/>
    <w:rsid w:val="00B71D42"/>
    <w:rsid w:val="00B747B4"/>
    <w:rsid w:val="00B77218"/>
    <w:rsid w:val="00B80497"/>
    <w:rsid w:val="00B90440"/>
    <w:rsid w:val="00BA1CC6"/>
    <w:rsid w:val="00BA1F95"/>
    <w:rsid w:val="00BA47C5"/>
    <w:rsid w:val="00BA5C14"/>
    <w:rsid w:val="00BB165F"/>
    <w:rsid w:val="00BB3414"/>
    <w:rsid w:val="00BB5A27"/>
    <w:rsid w:val="00BB5F0F"/>
    <w:rsid w:val="00BB7F51"/>
    <w:rsid w:val="00BC0FB4"/>
    <w:rsid w:val="00BC1D65"/>
    <w:rsid w:val="00BC24F3"/>
    <w:rsid w:val="00BC3EB2"/>
    <w:rsid w:val="00BC5057"/>
    <w:rsid w:val="00BC6A31"/>
    <w:rsid w:val="00BD2658"/>
    <w:rsid w:val="00BD687C"/>
    <w:rsid w:val="00BD7D6D"/>
    <w:rsid w:val="00BE1685"/>
    <w:rsid w:val="00BE4B0E"/>
    <w:rsid w:val="00BF4D95"/>
    <w:rsid w:val="00C0566C"/>
    <w:rsid w:val="00C10499"/>
    <w:rsid w:val="00C14091"/>
    <w:rsid w:val="00C3008F"/>
    <w:rsid w:val="00C3663E"/>
    <w:rsid w:val="00C46056"/>
    <w:rsid w:val="00C5753F"/>
    <w:rsid w:val="00C6249F"/>
    <w:rsid w:val="00C637B0"/>
    <w:rsid w:val="00C70697"/>
    <w:rsid w:val="00C82FC8"/>
    <w:rsid w:val="00C87DC2"/>
    <w:rsid w:val="00C90C64"/>
    <w:rsid w:val="00C9490A"/>
    <w:rsid w:val="00C961FE"/>
    <w:rsid w:val="00C97D8B"/>
    <w:rsid w:val="00CA1DF1"/>
    <w:rsid w:val="00CA2BC4"/>
    <w:rsid w:val="00CA44F9"/>
    <w:rsid w:val="00CA6621"/>
    <w:rsid w:val="00CB2482"/>
    <w:rsid w:val="00CC2CD1"/>
    <w:rsid w:val="00CC3D9E"/>
    <w:rsid w:val="00CC6658"/>
    <w:rsid w:val="00CD3BA5"/>
    <w:rsid w:val="00CD3C93"/>
    <w:rsid w:val="00CE33E3"/>
    <w:rsid w:val="00CE7F76"/>
    <w:rsid w:val="00CF240D"/>
    <w:rsid w:val="00CF5B60"/>
    <w:rsid w:val="00D04CEF"/>
    <w:rsid w:val="00D10142"/>
    <w:rsid w:val="00D1163A"/>
    <w:rsid w:val="00D12214"/>
    <w:rsid w:val="00D1242A"/>
    <w:rsid w:val="00D13548"/>
    <w:rsid w:val="00D16EC2"/>
    <w:rsid w:val="00D1760A"/>
    <w:rsid w:val="00D21ECA"/>
    <w:rsid w:val="00D233A7"/>
    <w:rsid w:val="00D25D7D"/>
    <w:rsid w:val="00D3105C"/>
    <w:rsid w:val="00D3267E"/>
    <w:rsid w:val="00D3649F"/>
    <w:rsid w:val="00D40505"/>
    <w:rsid w:val="00D45633"/>
    <w:rsid w:val="00D45DC3"/>
    <w:rsid w:val="00D51E35"/>
    <w:rsid w:val="00D52F67"/>
    <w:rsid w:val="00D53506"/>
    <w:rsid w:val="00D535AB"/>
    <w:rsid w:val="00D554DA"/>
    <w:rsid w:val="00D56B0D"/>
    <w:rsid w:val="00D570FC"/>
    <w:rsid w:val="00D60416"/>
    <w:rsid w:val="00D70C10"/>
    <w:rsid w:val="00D71199"/>
    <w:rsid w:val="00D7620D"/>
    <w:rsid w:val="00D7732C"/>
    <w:rsid w:val="00D80FB7"/>
    <w:rsid w:val="00D813DD"/>
    <w:rsid w:val="00D81A8A"/>
    <w:rsid w:val="00D83E5F"/>
    <w:rsid w:val="00D852DB"/>
    <w:rsid w:val="00D87E3D"/>
    <w:rsid w:val="00D90A21"/>
    <w:rsid w:val="00D9130D"/>
    <w:rsid w:val="00D940DF"/>
    <w:rsid w:val="00D96199"/>
    <w:rsid w:val="00D96927"/>
    <w:rsid w:val="00D96D62"/>
    <w:rsid w:val="00DA12B3"/>
    <w:rsid w:val="00DA2FCF"/>
    <w:rsid w:val="00DA3929"/>
    <w:rsid w:val="00DA3B99"/>
    <w:rsid w:val="00DB0F31"/>
    <w:rsid w:val="00DB2B2F"/>
    <w:rsid w:val="00DB315B"/>
    <w:rsid w:val="00DB4CA8"/>
    <w:rsid w:val="00DC5F80"/>
    <w:rsid w:val="00DC6902"/>
    <w:rsid w:val="00DD1A75"/>
    <w:rsid w:val="00DD363B"/>
    <w:rsid w:val="00DD6734"/>
    <w:rsid w:val="00DD70CA"/>
    <w:rsid w:val="00DE0220"/>
    <w:rsid w:val="00DE45EE"/>
    <w:rsid w:val="00DE6FDF"/>
    <w:rsid w:val="00DF056D"/>
    <w:rsid w:val="00DF2BB8"/>
    <w:rsid w:val="00DF4660"/>
    <w:rsid w:val="00DF5723"/>
    <w:rsid w:val="00DF708C"/>
    <w:rsid w:val="00E02C35"/>
    <w:rsid w:val="00E02D6B"/>
    <w:rsid w:val="00E04C7F"/>
    <w:rsid w:val="00E12416"/>
    <w:rsid w:val="00E169B3"/>
    <w:rsid w:val="00E2299C"/>
    <w:rsid w:val="00E244AE"/>
    <w:rsid w:val="00E373A3"/>
    <w:rsid w:val="00E406C0"/>
    <w:rsid w:val="00E409D7"/>
    <w:rsid w:val="00E40CC4"/>
    <w:rsid w:val="00E46EE7"/>
    <w:rsid w:val="00E50A96"/>
    <w:rsid w:val="00E60850"/>
    <w:rsid w:val="00E66875"/>
    <w:rsid w:val="00E66CAD"/>
    <w:rsid w:val="00E6728C"/>
    <w:rsid w:val="00E70D7A"/>
    <w:rsid w:val="00E7194A"/>
    <w:rsid w:val="00E852C4"/>
    <w:rsid w:val="00E907AE"/>
    <w:rsid w:val="00E9365C"/>
    <w:rsid w:val="00E96F37"/>
    <w:rsid w:val="00EA17C8"/>
    <w:rsid w:val="00EA3358"/>
    <w:rsid w:val="00EA7128"/>
    <w:rsid w:val="00EB0DB2"/>
    <w:rsid w:val="00EB1B4C"/>
    <w:rsid w:val="00EC1370"/>
    <w:rsid w:val="00EC590A"/>
    <w:rsid w:val="00EC7B8A"/>
    <w:rsid w:val="00ED42B4"/>
    <w:rsid w:val="00ED6047"/>
    <w:rsid w:val="00EE1DE0"/>
    <w:rsid w:val="00EE2BCA"/>
    <w:rsid w:val="00EE36A0"/>
    <w:rsid w:val="00EE468B"/>
    <w:rsid w:val="00EE53D9"/>
    <w:rsid w:val="00EE6E79"/>
    <w:rsid w:val="00EF4577"/>
    <w:rsid w:val="00EF661A"/>
    <w:rsid w:val="00EF670C"/>
    <w:rsid w:val="00F00A0A"/>
    <w:rsid w:val="00F0236E"/>
    <w:rsid w:val="00F046BF"/>
    <w:rsid w:val="00F15BEA"/>
    <w:rsid w:val="00F26B0C"/>
    <w:rsid w:val="00F37F07"/>
    <w:rsid w:val="00F42A58"/>
    <w:rsid w:val="00F42DFF"/>
    <w:rsid w:val="00F52410"/>
    <w:rsid w:val="00F5730B"/>
    <w:rsid w:val="00F57D94"/>
    <w:rsid w:val="00F60548"/>
    <w:rsid w:val="00F64D2E"/>
    <w:rsid w:val="00F81FF8"/>
    <w:rsid w:val="00F83CE9"/>
    <w:rsid w:val="00F91B3D"/>
    <w:rsid w:val="00F91C10"/>
    <w:rsid w:val="00F93579"/>
    <w:rsid w:val="00F93F72"/>
    <w:rsid w:val="00FA292D"/>
    <w:rsid w:val="00FA3F23"/>
    <w:rsid w:val="00FA6AC3"/>
    <w:rsid w:val="00FA7B0C"/>
    <w:rsid w:val="00FB1D8B"/>
    <w:rsid w:val="00FB3326"/>
    <w:rsid w:val="00FB6C03"/>
    <w:rsid w:val="00FC12FF"/>
    <w:rsid w:val="00FC7A07"/>
    <w:rsid w:val="00FD3C93"/>
    <w:rsid w:val="00FD57EB"/>
    <w:rsid w:val="00FD78F0"/>
    <w:rsid w:val="00FE2CF6"/>
    <w:rsid w:val="00FE45A2"/>
    <w:rsid w:val="00FE4875"/>
    <w:rsid w:val="00FE5E6A"/>
    <w:rsid w:val="00FE6CD6"/>
    <w:rsid w:val="00FF051A"/>
    <w:rsid w:val="00FF078E"/>
    <w:rsid w:val="00FF0870"/>
    <w:rsid w:val="00FF2AD1"/>
    <w:rsid w:val="00FF3F91"/>
    <w:rsid w:val="00FF5317"/>
    <w:rsid w:val="00FF650B"/>
    <w:rsid w:val="04E150BF"/>
    <w:rsid w:val="04FF7446"/>
    <w:rsid w:val="062032D4"/>
    <w:rsid w:val="06353DEE"/>
    <w:rsid w:val="07A64925"/>
    <w:rsid w:val="08D339A6"/>
    <w:rsid w:val="08EB10A3"/>
    <w:rsid w:val="090650F1"/>
    <w:rsid w:val="12595F1E"/>
    <w:rsid w:val="139317C8"/>
    <w:rsid w:val="18E31EA1"/>
    <w:rsid w:val="19802A09"/>
    <w:rsid w:val="1C672DE6"/>
    <w:rsid w:val="1CB60272"/>
    <w:rsid w:val="1D757DB3"/>
    <w:rsid w:val="202C3B37"/>
    <w:rsid w:val="203E05D9"/>
    <w:rsid w:val="211F0DD3"/>
    <w:rsid w:val="23ED23B3"/>
    <w:rsid w:val="270C0F7A"/>
    <w:rsid w:val="28C7413C"/>
    <w:rsid w:val="29D528A4"/>
    <w:rsid w:val="2A90064F"/>
    <w:rsid w:val="2C4409FF"/>
    <w:rsid w:val="2EF465FC"/>
    <w:rsid w:val="311D576F"/>
    <w:rsid w:val="32061750"/>
    <w:rsid w:val="335353D9"/>
    <w:rsid w:val="360B0B57"/>
    <w:rsid w:val="364E3939"/>
    <w:rsid w:val="39D23D5B"/>
    <w:rsid w:val="3BE50EB9"/>
    <w:rsid w:val="3C8479AB"/>
    <w:rsid w:val="3D335B04"/>
    <w:rsid w:val="3D944F12"/>
    <w:rsid w:val="3DC051EC"/>
    <w:rsid w:val="3DF076AE"/>
    <w:rsid w:val="3EAB3EC5"/>
    <w:rsid w:val="40E64EFE"/>
    <w:rsid w:val="412205FF"/>
    <w:rsid w:val="42255181"/>
    <w:rsid w:val="42F35969"/>
    <w:rsid w:val="438828A0"/>
    <w:rsid w:val="43A8502D"/>
    <w:rsid w:val="45CC6E0B"/>
    <w:rsid w:val="465D1D91"/>
    <w:rsid w:val="484A6679"/>
    <w:rsid w:val="48C50E40"/>
    <w:rsid w:val="4B2F1D0D"/>
    <w:rsid w:val="4F2F4F99"/>
    <w:rsid w:val="521A69EB"/>
    <w:rsid w:val="52542E25"/>
    <w:rsid w:val="56150413"/>
    <w:rsid w:val="5697212D"/>
    <w:rsid w:val="580B64E3"/>
    <w:rsid w:val="59027790"/>
    <w:rsid w:val="593B313A"/>
    <w:rsid w:val="5B526E86"/>
    <w:rsid w:val="5B605B93"/>
    <w:rsid w:val="5E447597"/>
    <w:rsid w:val="69E635C3"/>
    <w:rsid w:val="6AF17739"/>
    <w:rsid w:val="6B195F3C"/>
    <w:rsid w:val="6CED5A7A"/>
    <w:rsid w:val="6D186849"/>
    <w:rsid w:val="6E6728C8"/>
    <w:rsid w:val="70952266"/>
    <w:rsid w:val="7159154A"/>
    <w:rsid w:val="727C19FF"/>
    <w:rsid w:val="75BA4ABE"/>
    <w:rsid w:val="771F0726"/>
    <w:rsid w:val="78A366B5"/>
    <w:rsid w:val="7A9B5B99"/>
    <w:rsid w:val="7D3D06EF"/>
    <w:rsid w:val="7D785D55"/>
    <w:rsid w:val="7DF224BE"/>
    <w:rsid w:val="7F7173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200" w:firstLineChars="200"/>
      <w:jc w:val="both"/>
    </w:pPr>
    <w:rPr>
      <w:rFonts w:ascii="等线" w:hAnsi="等线" w:eastAsia="宋体" w:cs="黑体"/>
      <w:kern w:val="2"/>
      <w:sz w:val="24"/>
      <w:szCs w:val="22"/>
      <w:lang w:val="en-US" w:eastAsia="zh-CN" w:bidi="ar-SA"/>
    </w:rPr>
  </w:style>
  <w:style w:type="paragraph" w:styleId="2">
    <w:name w:val="heading 1"/>
    <w:next w:val="1"/>
    <w:link w:val="30"/>
    <w:qFormat/>
    <w:uiPriority w:val="9"/>
    <w:pPr>
      <w:numPr>
        <w:ilvl w:val="0"/>
        <w:numId w:val="1"/>
      </w:numPr>
      <w:outlineLvl w:val="0"/>
    </w:pPr>
    <w:rPr>
      <w:rFonts w:ascii="等线 Light" w:hAnsi="等线 Light" w:eastAsia="宋体" w:cs="黑体"/>
      <w:b/>
      <w:kern w:val="44"/>
      <w:sz w:val="28"/>
      <w:szCs w:val="44"/>
      <w:lang w:val="en-US" w:eastAsia="zh-CN" w:bidi="ar-SA"/>
    </w:rPr>
  </w:style>
  <w:style w:type="paragraph" w:styleId="3">
    <w:name w:val="heading 2"/>
    <w:next w:val="1"/>
    <w:link w:val="31"/>
    <w:unhideWhenUsed/>
    <w:qFormat/>
    <w:uiPriority w:val="9"/>
    <w:pPr>
      <w:keepNext/>
      <w:keepLines/>
      <w:numPr>
        <w:ilvl w:val="1"/>
        <w:numId w:val="1"/>
      </w:numPr>
      <w:outlineLvl w:val="1"/>
    </w:pPr>
    <w:rPr>
      <w:rFonts w:ascii="等线 Light" w:hAnsi="等线 Light" w:eastAsia="宋体" w:cs="黑体"/>
      <w:b/>
      <w:bCs/>
      <w:kern w:val="2"/>
      <w:sz w:val="28"/>
      <w:szCs w:val="32"/>
      <w:lang w:val="en-US" w:eastAsia="zh-CN" w:bidi="ar-SA"/>
    </w:rPr>
  </w:style>
  <w:style w:type="paragraph" w:styleId="4">
    <w:name w:val="heading 3"/>
    <w:basedOn w:val="1"/>
    <w:next w:val="1"/>
    <w:link w:val="32"/>
    <w:unhideWhenUsed/>
    <w:qFormat/>
    <w:uiPriority w:val="9"/>
    <w:pPr>
      <w:keepNext/>
      <w:keepLines/>
      <w:numPr>
        <w:ilvl w:val="2"/>
        <w:numId w:val="2"/>
      </w:numPr>
      <w:spacing w:before="260" w:after="260" w:line="416" w:lineRule="auto"/>
      <w:outlineLvl w:val="2"/>
    </w:pPr>
    <w:rPr>
      <w:b/>
      <w:bCs/>
      <w:sz w:val="32"/>
      <w:szCs w:val="32"/>
    </w:rPr>
  </w:style>
  <w:style w:type="paragraph" w:styleId="5">
    <w:name w:val="heading 4"/>
    <w:basedOn w:val="1"/>
    <w:next w:val="1"/>
    <w:unhideWhenUsed/>
    <w:qFormat/>
    <w:uiPriority w:val="9"/>
    <w:pPr>
      <w:keepNext/>
      <w:keepLines/>
      <w:spacing w:before="280" w:after="290" w:line="372" w:lineRule="auto"/>
      <w:outlineLvl w:val="3"/>
    </w:pPr>
    <w:rPr>
      <w:rFonts w:ascii="Arial" w:hAnsi="Arial" w:eastAsia="黑体"/>
      <w:b/>
      <w:sz w:val="28"/>
    </w:rPr>
  </w:style>
  <w:style w:type="paragraph" w:styleId="6">
    <w:name w:val="heading 5"/>
    <w:basedOn w:val="1"/>
    <w:next w:val="1"/>
    <w:unhideWhenUsed/>
    <w:qFormat/>
    <w:uiPriority w:val="9"/>
    <w:pPr>
      <w:keepNext/>
      <w:keepLines/>
      <w:spacing w:before="280" w:after="290" w:line="372" w:lineRule="auto"/>
      <w:outlineLvl w:val="4"/>
    </w:pPr>
    <w:rPr>
      <w:b/>
      <w:sz w:val="28"/>
    </w:rPr>
  </w:style>
  <w:style w:type="character" w:default="1" w:styleId="18">
    <w:name w:val="Default Paragraph Font"/>
    <w:semiHidden/>
    <w:unhideWhenUsed/>
    <w:qFormat/>
    <w:uiPriority w:val="1"/>
  </w:style>
  <w:style w:type="table" w:default="1" w:styleId="17">
    <w:name w:val="Normal Table"/>
    <w:semiHidden/>
    <w:unhideWhenUsed/>
    <w:uiPriority w:val="99"/>
    <w:tblPr>
      <w:tblCellMar>
        <w:top w:w="0" w:type="dxa"/>
        <w:left w:w="108" w:type="dxa"/>
        <w:bottom w:w="0" w:type="dxa"/>
        <w:right w:w="108" w:type="dxa"/>
      </w:tblCellMar>
    </w:tblPr>
  </w:style>
  <w:style w:type="paragraph" w:styleId="7">
    <w:name w:val="annotation text"/>
    <w:basedOn w:val="1"/>
    <w:link w:val="37"/>
    <w:unhideWhenUsed/>
    <w:qFormat/>
    <w:uiPriority w:val="99"/>
    <w:pPr>
      <w:jc w:val="left"/>
    </w:pPr>
  </w:style>
  <w:style w:type="paragraph" w:styleId="8">
    <w:name w:val="toc 3"/>
    <w:basedOn w:val="1"/>
    <w:next w:val="1"/>
    <w:unhideWhenUsed/>
    <w:qFormat/>
    <w:uiPriority w:val="39"/>
    <w:pPr>
      <w:ind w:left="840" w:leftChars="400"/>
    </w:pPr>
  </w:style>
  <w:style w:type="paragraph" w:styleId="9">
    <w:name w:val="Date"/>
    <w:basedOn w:val="1"/>
    <w:next w:val="1"/>
    <w:link w:val="40"/>
    <w:unhideWhenUsed/>
    <w:qFormat/>
    <w:uiPriority w:val="99"/>
    <w:pPr>
      <w:ind w:left="100" w:leftChars="2500"/>
    </w:pPr>
  </w:style>
  <w:style w:type="paragraph" w:styleId="10">
    <w:name w:val="Balloon Text"/>
    <w:basedOn w:val="1"/>
    <w:link w:val="34"/>
    <w:unhideWhenUsed/>
    <w:qFormat/>
    <w:uiPriority w:val="99"/>
    <w:rPr>
      <w:sz w:val="18"/>
      <w:szCs w:val="18"/>
    </w:rPr>
  </w:style>
  <w:style w:type="paragraph" w:styleId="11">
    <w:name w:val="footer"/>
    <w:basedOn w:val="1"/>
    <w:link w:val="36"/>
    <w:unhideWhenUsed/>
    <w:qFormat/>
    <w:uiPriority w:val="99"/>
    <w:pPr>
      <w:tabs>
        <w:tab w:val="center" w:pos="4153"/>
        <w:tab w:val="right" w:pos="8306"/>
      </w:tabs>
      <w:snapToGrid w:val="0"/>
      <w:jc w:val="left"/>
    </w:pPr>
    <w:rPr>
      <w:sz w:val="18"/>
      <w:szCs w:val="18"/>
    </w:rPr>
  </w:style>
  <w:style w:type="paragraph" w:styleId="12">
    <w:name w:val="header"/>
    <w:basedOn w:val="1"/>
    <w:link w:val="35"/>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unhideWhenUsed/>
    <w:qFormat/>
    <w:uiPriority w:val="39"/>
  </w:style>
  <w:style w:type="paragraph" w:styleId="14">
    <w:name w:val="toc 2"/>
    <w:basedOn w:val="1"/>
    <w:next w:val="1"/>
    <w:unhideWhenUsed/>
    <w:qFormat/>
    <w:uiPriority w:val="39"/>
    <w:pPr>
      <w:ind w:left="420" w:leftChars="200"/>
    </w:pPr>
  </w:style>
  <w:style w:type="paragraph" w:styleId="15">
    <w:name w:val="Normal (Web)"/>
    <w:basedOn w:val="1"/>
    <w:unhideWhenUsed/>
    <w:qFormat/>
    <w:uiPriority w:val="99"/>
    <w:pPr>
      <w:widowControl/>
      <w:spacing w:before="100" w:beforeAutospacing="1" w:after="100" w:afterAutospacing="1"/>
      <w:jc w:val="left"/>
    </w:pPr>
    <w:rPr>
      <w:rFonts w:ascii="宋体" w:hAnsi="宋体" w:cs="宋体"/>
      <w:kern w:val="0"/>
      <w:szCs w:val="24"/>
    </w:rPr>
  </w:style>
  <w:style w:type="paragraph" w:styleId="16">
    <w:name w:val="annotation subject"/>
    <w:basedOn w:val="7"/>
    <w:next w:val="7"/>
    <w:link w:val="38"/>
    <w:unhideWhenUsed/>
    <w:qFormat/>
    <w:uiPriority w:val="99"/>
    <w:rPr>
      <w:b/>
      <w:bCs/>
    </w:rPr>
  </w:style>
  <w:style w:type="character" w:styleId="19">
    <w:name w:val="Strong"/>
    <w:qFormat/>
    <w:uiPriority w:val="22"/>
    <w:rPr>
      <w:b/>
    </w:rPr>
  </w:style>
  <w:style w:type="character" w:styleId="20">
    <w:name w:val="FollowedHyperlink"/>
    <w:unhideWhenUsed/>
    <w:qFormat/>
    <w:uiPriority w:val="99"/>
    <w:rPr>
      <w:color w:val="000000"/>
      <w:sz w:val="19"/>
      <w:szCs w:val="19"/>
      <w:u w:val="none"/>
    </w:rPr>
  </w:style>
  <w:style w:type="character" w:styleId="21">
    <w:name w:val="Hyperlink"/>
    <w:unhideWhenUsed/>
    <w:qFormat/>
    <w:uiPriority w:val="99"/>
    <w:rPr>
      <w:color w:val="0563C1"/>
      <w:u w:val="single"/>
    </w:rPr>
  </w:style>
  <w:style w:type="character" w:styleId="22">
    <w:name w:val="annotation reference"/>
    <w:unhideWhenUsed/>
    <w:qFormat/>
    <w:uiPriority w:val="99"/>
    <w:rPr>
      <w:sz w:val="21"/>
      <w:szCs w:val="21"/>
    </w:rPr>
  </w:style>
  <w:style w:type="paragraph" w:customStyle="1" w:styleId="23">
    <w:name w:val="列出段落1"/>
    <w:basedOn w:val="1"/>
    <w:qFormat/>
    <w:uiPriority w:val="34"/>
    <w:pPr>
      <w:ind w:firstLine="420"/>
    </w:pPr>
  </w:style>
  <w:style w:type="paragraph" w:customStyle="1" w:styleId="24">
    <w:name w:val="无间隔1"/>
    <w:link w:val="33"/>
    <w:qFormat/>
    <w:uiPriority w:val="1"/>
    <w:rPr>
      <w:rFonts w:ascii="等线" w:hAnsi="等线" w:eastAsia="等线" w:cs="黑体"/>
      <w:sz w:val="22"/>
      <w:szCs w:val="22"/>
      <w:lang w:val="en-US" w:eastAsia="zh-CN" w:bidi="ar-SA"/>
    </w:rPr>
  </w:style>
  <w:style w:type="paragraph" w:customStyle="1" w:styleId="25">
    <w:name w:val="TOC 标题1"/>
    <w:basedOn w:val="2"/>
    <w:next w:val="1"/>
    <w:unhideWhenUsed/>
    <w:qFormat/>
    <w:uiPriority w:val="39"/>
    <w:pPr>
      <w:spacing w:before="480" w:line="276" w:lineRule="auto"/>
      <w:outlineLvl w:val="9"/>
    </w:pPr>
    <w:rPr>
      <w:rFonts w:eastAsia="等线 Light"/>
      <w:color w:val="2D73B3"/>
      <w:kern w:val="0"/>
      <w:szCs w:val="28"/>
    </w:rPr>
  </w:style>
  <w:style w:type="paragraph" w:customStyle="1" w:styleId="26">
    <w:name w:val="修订1"/>
    <w:hidden/>
    <w:semiHidden/>
    <w:qFormat/>
    <w:uiPriority w:val="99"/>
    <w:rPr>
      <w:rFonts w:ascii="等线" w:hAnsi="等线" w:eastAsia="等线" w:cs="黑体"/>
      <w:kern w:val="2"/>
      <w:sz w:val="21"/>
      <w:szCs w:val="22"/>
      <w:lang w:val="en-US" w:eastAsia="zh-CN" w:bidi="ar-SA"/>
    </w:rPr>
  </w:style>
  <w:style w:type="paragraph" w:customStyle="1" w:styleId="27">
    <w:name w:val="正文首行缩进2字符"/>
    <w:basedOn w:val="1"/>
    <w:next w:val="1"/>
    <w:link w:val="39"/>
    <w:qFormat/>
    <w:uiPriority w:val="0"/>
    <w:pPr>
      <w:jc w:val="left"/>
    </w:pPr>
    <w:rPr>
      <w:rFonts w:cs="等线"/>
      <w:szCs w:val="21"/>
    </w:rPr>
  </w:style>
  <w:style w:type="paragraph" w:customStyle="1" w:styleId="28">
    <w:name w:val="列出段落2"/>
    <w:basedOn w:val="1"/>
    <w:unhideWhenUsed/>
    <w:qFormat/>
    <w:uiPriority w:val="99"/>
    <w:pPr>
      <w:ind w:firstLine="420"/>
    </w:pPr>
  </w:style>
  <w:style w:type="paragraph" w:customStyle="1" w:styleId="29">
    <w:name w:val="TOC 标题2"/>
    <w:basedOn w:val="2"/>
    <w:next w:val="1"/>
    <w:unhideWhenUsed/>
    <w:qFormat/>
    <w:uiPriority w:val="39"/>
    <w:pPr>
      <w:keepNext/>
      <w:keepLines/>
      <w:numPr>
        <w:numId w:val="0"/>
      </w:numPr>
      <w:spacing w:before="480" w:line="276" w:lineRule="auto"/>
      <w:outlineLvl w:val="9"/>
    </w:pPr>
    <w:rPr>
      <w:rFonts w:eastAsia="等线 Light"/>
      <w:bCs/>
      <w:color w:val="2D73B3"/>
      <w:kern w:val="0"/>
      <w:szCs w:val="28"/>
    </w:rPr>
  </w:style>
  <w:style w:type="character" w:customStyle="1" w:styleId="30">
    <w:name w:val="标题 1 Char"/>
    <w:link w:val="2"/>
    <w:qFormat/>
    <w:uiPriority w:val="9"/>
    <w:rPr>
      <w:rFonts w:ascii="等线 Light" w:hAnsi="等线 Light" w:cs="黑体"/>
      <w:b/>
      <w:kern w:val="44"/>
      <w:sz w:val="28"/>
      <w:szCs w:val="44"/>
    </w:rPr>
  </w:style>
  <w:style w:type="character" w:customStyle="1" w:styleId="31">
    <w:name w:val="标题 2 Char"/>
    <w:link w:val="3"/>
    <w:qFormat/>
    <w:uiPriority w:val="9"/>
    <w:rPr>
      <w:rFonts w:ascii="等线 Light" w:hAnsi="等线 Light" w:cs="黑体"/>
      <w:b/>
      <w:bCs/>
      <w:kern w:val="2"/>
      <w:sz w:val="28"/>
      <w:szCs w:val="32"/>
    </w:rPr>
  </w:style>
  <w:style w:type="character" w:customStyle="1" w:styleId="32">
    <w:name w:val="标题 3 Char"/>
    <w:link w:val="4"/>
    <w:qFormat/>
    <w:uiPriority w:val="9"/>
    <w:rPr>
      <w:rFonts w:ascii="等线" w:hAnsi="等线" w:cs="黑体"/>
      <w:b/>
      <w:bCs/>
      <w:kern w:val="2"/>
      <w:sz w:val="32"/>
      <w:szCs w:val="32"/>
    </w:rPr>
  </w:style>
  <w:style w:type="character" w:customStyle="1" w:styleId="33">
    <w:name w:val="无间隔 Char"/>
    <w:link w:val="24"/>
    <w:qFormat/>
    <w:uiPriority w:val="1"/>
    <w:rPr>
      <w:kern w:val="0"/>
      <w:sz w:val="22"/>
    </w:rPr>
  </w:style>
  <w:style w:type="character" w:customStyle="1" w:styleId="34">
    <w:name w:val="批注框文本 Char"/>
    <w:link w:val="10"/>
    <w:qFormat/>
    <w:uiPriority w:val="99"/>
    <w:rPr>
      <w:sz w:val="18"/>
      <w:szCs w:val="18"/>
    </w:rPr>
  </w:style>
  <w:style w:type="character" w:customStyle="1" w:styleId="35">
    <w:name w:val="页眉 Char"/>
    <w:link w:val="12"/>
    <w:qFormat/>
    <w:uiPriority w:val="99"/>
    <w:rPr>
      <w:sz w:val="18"/>
      <w:szCs w:val="18"/>
    </w:rPr>
  </w:style>
  <w:style w:type="character" w:customStyle="1" w:styleId="36">
    <w:name w:val="页脚 Char"/>
    <w:link w:val="11"/>
    <w:qFormat/>
    <w:uiPriority w:val="99"/>
    <w:rPr>
      <w:sz w:val="18"/>
      <w:szCs w:val="18"/>
    </w:rPr>
  </w:style>
  <w:style w:type="character" w:customStyle="1" w:styleId="37">
    <w:name w:val="批注文字 Char"/>
    <w:basedOn w:val="18"/>
    <w:link w:val="7"/>
    <w:qFormat/>
    <w:uiPriority w:val="99"/>
  </w:style>
  <w:style w:type="character" w:customStyle="1" w:styleId="38">
    <w:name w:val="批注主题 Char"/>
    <w:link w:val="16"/>
    <w:qFormat/>
    <w:uiPriority w:val="99"/>
    <w:rPr>
      <w:b/>
      <w:bCs/>
    </w:rPr>
  </w:style>
  <w:style w:type="character" w:customStyle="1" w:styleId="39">
    <w:name w:val="正文首行缩进2字符 Char Char"/>
    <w:link w:val="27"/>
    <w:qFormat/>
    <w:uiPriority w:val="0"/>
    <w:rPr>
      <w:rFonts w:ascii="等线" w:hAnsi="等线" w:eastAsia="等线" w:cs="等线"/>
      <w:kern w:val="2"/>
      <w:sz w:val="21"/>
      <w:szCs w:val="21"/>
    </w:rPr>
  </w:style>
  <w:style w:type="character" w:customStyle="1" w:styleId="40">
    <w:name w:val="日期 Char"/>
    <w:link w:val="9"/>
    <w:qFormat/>
    <w:uiPriority w:val="99"/>
    <w:rPr>
      <w:rFonts w:ascii="等线" w:hAnsi="等线" w:cs="黑体"/>
      <w:kern w:val="2"/>
      <w:sz w:val="24"/>
      <w:szCs w:val="22"/>
    </w:rPr>
  </w:style>
  <w:style w:type="character" w:customStyle="1" w:styleId="41">
    <w:name w:val="Unresolved Mention"/>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9" Type="http://schemas.openxmlformats.org/officeDocument/2006/relationships/fontTable" Target="fontTable.xml"/><Relationship Id="rId78" Type="http://schemas.openxmlformats.org/officeDocument/2006/relationships/customXml" Target="../customXml/item2.xml"/><Relationship Id="rId77" Type="http://schemas.openxmlformats.org/officeDocument/2006/relationships/numbering" Target="numbering.xml"/><Relationship Id="rId76" Type="http://schemas.openxmlformats.org/officeDocument/2006/relationships/customXml" Target="../customXml/item1.xml"/><Relationship Id="rId75" Type="http://schemas.openxmlformats.org/officeDocument/2006/relationships/image" Target="media/image64.png"/><Relationship Id="rId74" Type="http://schemas.openxmlformats.org/officeDocument/2006/relationships/image" Target="media/image63.png"/><Relationship Id="rId73" Type="http://schemas.openxmlformats.org/officeDocument/2006/relationships/image" Target="media/image62.png"/><Relationship Id="rId72" Type="http://schemas.openxmlformats.org/officeDocument/2006/relationships/image" Target="media/image61.png"/><Relationship Id="rId71" Type="http://schemas.openxmlformats.org/officeDocument/2006/relationships/image" Target="media/image60.png"/><Relationship Id="rId70" Type="http://schemas.openxmlformats.org/officeDocument/2006/relationships/image" Target="media/image59.png"/><Relationship Id="rId7" Type="http://schemas.openxmlformats.org/officeDocument/2006/relationships/footer" Target="footer2.xml"/><Relationship Id="rId69" Type="http://schemas.openxmlformats.org/officeDocument/2006/relationships/image" Target="media/image58.png"/><Relationship Id="rId68" Type="http://schemas.openxmlformats.org/officeDocument/2006/relationships/image" Target="media/image57.png"/><Relationship Id="rId67" Type="http://schemas.openxmlformats.org/officeDocument/2006/relationships/image" Target="media/image56.png"/><Relationship Id="rId66" Type="http://schemas.openxmlformats.org/officeDocument/2006/relationships/image" Target="media/image55.png"/><Relationship Id="rId65" Type="http://schemas.openxmlformats.org/officeDocument/2006/relationships/image" Target="media/image54.png"/><Relationship Id="rId64" Type="http://schemas.openxmlformats.org/officeDocument/2006/relationships/image" Target="media/image53.png"/><Relationship Id="rId63" Type="http://schemas.openxmlformats.org/officeDocument/2006/relationships/image" Target="media/image52.png"/><Relationship Id="rId62" Type="http://schemas.openxmlformats.org/officeDocument/2006/relationships/image" Target="media/image51.png"/><Relationship Id="rId61" Type="http://schemas.openxmlformats.org/officeDocument/2006/relationships/image" Target="media/image50.png"/><Relationship Id="rId60" Type="http://schemas.openxmlformats.org/officeDocument/2006/relationships/image" Target="media/image49.png"/><Relationship Id="rId6" Type="http://schemas.openxmlformats.org/officeDocument/2006/relationships/footer" Target="footer1.xml"/><Relationship Id="rId59" Type="http://schemas.openxmlformats.org/officeDocument/2006/relationships/image" Target="media/image48.png"/><Relationship Id="rId58" Type="http://schemas.openxmlformats.org/officeDocument/2006/relationships/image" Target="media/image47.png"/><Relationship Id="rId57" Type="http://schemas.openxmlformats.org/officeDocument/2006/relationships/image" Target="media/image46.png"/><Relationship Id="rId56" Type="http://schemas.openxmlformats.org/officeDocument/2006/relationships/image" Target="media/image45.png"/><Relationship Id="rId55" Type="http://schemas.openxmlformats.org/officeDocument/2006/relationships/image" Target="media/image44.png"/><Relationship Id="rId54" Type="http://schemas.openxmlformats.org/officeDocument/2006/relationships/image" Target="media/image43.png"/><Relationship Id="rId53" Type="http://schemas.openxmlformats.org/officeDocument/2006/relationships/image" Target="media/image42.png"/><Relationship Id="rId52" Type="http://schemas.openxmlformats.org/officeDocument/2006/relationships/image" Target="media/image41.png"/><Relationship Id="rId51" Type="http://schemas.openxmlformats.org/officeDocument/2006/relationships/image" Target="media/image40.png"/><Relationship Id="rId50" Type="http://schemas.openxmlformats.org/officeDocument/2006/relationships/image" Target="media/image39.png"/><Relationship Id="rId5" Type="http://schemas.openxmlformats.org/officeDocument/2006/relationships/header" Target="header3.xml"/><Relationship Id="rId49" Type="http://schemas.openxmlformats.org/officeDocument/2006/relationships/image" Target="media/image38.png"/><Relationship Id="rId48" Type="http://schemas.openxmlformats.org/officeDocument/2006/relationships/image" Target="media/image37.png"/><Relationship Id="rId47" Type="http://schemas.openxmlformats.org/officeDocument/2006/relationships/image" Target="media/image36.png"/><Relationship Id="rId46" Type="http://schemas.openxmlformats.org/officeDocument/2006/relationships/image" Target="media/image35.png"/><Relationship Id="rId45" Type="http://schemas.openxmlformats.org/officeDocument/2006/relationships/image" Target="media/image34.png"/><Relationship Id="rId44" Type="http://schemas.openxmlformats.org/officeDocument/2006/relationships/image" Target="media/image33.png"/><Relationship Id="rId43" Type="http://schemas.openxmlformats.org/officeDocument/2006/relationships/image" Target="media/image32.png"/><Relationship Id="rId42" Type="http://schemas.openxmlformats.org/officeDocument/2006/relationships/image" Target="media/image31.png"/><Relationship Id="rId41" Type="http://schemas.openxmlformats.org/officeDocument/2006/relationships/image" Target="media/image30.png"/><Relationship Id="rId40" Type="http://schemas.openxmlformats.org/officeDocument/2006/relationships/image" Target="media/image29.png"/><Relationship Id="rId4" Type="http://schemas.openxmlformats.org/officeDocument/2006/relationships/header" Target="header2.xml"/><Relationship Id="rId39" Type="http://schemas.openxmlformats.org/officeDocument/2006/relationships/image" Target="media/image28.png"/><Relationship Id="rId38" Type="http://schemas.openxmlformats.org/officeDocument/2006/relationships/image" Target="media/image27.png"/><Relationship Id="rId37" Type="http://schemas.openxmlformats.org/officeDocument/2006/relationships/image" Target="media/image26.png"/><Relationship Id="rId36" Type="http://schemas.openxmlformats.org/officeDocument/2006/relationships/image" Target="media/image25.png"/><Relationship Id="rId35" Type="http://schemas.openxmlformats.org/officeDocument/2006/relationships/image" Target="media/image24.png"/><Relationship Id="rId34" Type="http://schemas.openxmlformats.org/officeDocument/2006/relationships/image" Target="media/image23.png"/><Relationship Id="rId33" Type="http://schemas.openxmlformats.org/officeDocument/2006/relationships/image" Target="media/image22.png"/><Relationship Id="rId32" Type="http://schemas.openxmlformats.org/officeDocument/2006/relationships/image" Target="media/image21.png"/><Relationship Id="rId31" Type="http://schemas.openxmlformats.org/officeDocument/2006/relationships/image" Target="media/image20.png"/><Relationship Id="rId30" Type="http://schemas.openxmlformats.org/officeDocument/2006/relationships/image" Target="media/image19.png"/><Relationship Id="rId3" Type="http://schemas.openxmlformats.org/officeDocument/2006/relationships/header" Target="header1.xml"/><Relationship Id="rId29" Type="http://schemas.openxmlformats.org/officeDocument/2006/relationships/image" Target="media/image18.png"/><Relationship Id="rId28" Type="http://schemas.openxmlformats.org/officeDocument/2006/relationships/image" Target="media/image17.png"/><Relationship Id="rId27" Type="http://schemas.openxmlformats.org/officeDocument/2006/relationships/image" Target="media/image16.png"/><Relationship Id="rId26" Type="http://schemas.openxmlformats.org/officeDocument/2006/relationships/image" Target="media/image15.png"/><Relationship Id="rId25" Type="http://schemas.openxmlformats.org/officeDocument/2006/relationships/image" Target="media/image14.png"/><Relationship Id="rId24" Type="http://schemas.openxmlformats.org/officeDocument/2006/relationships/image" Target="media/image13.png"/><Relationship Id="rId23" Type="http://schemas.openxmlformats.org/officeDocument/2006/relationships/image" Target="media/image12.png"/><Relationship Id="rId22" Type="http://schemas.openxmlformats.org/officeDocument/2006/relationships/image" Target="media/image11.png"/><Relationship Id="rId21" Type="http://schemas.openxmlformats.org/officeDocument/2006/relationships/image" Target="media/image10.png"/><Relationship Id="rId20" Type="http://schemas.openxmlformats.org/officeDocument/2006/relationships/image" Target="media/image9.png"/><Relationship Id="rId2" Type="http://schemas.openxmlformats.org/officeDocument/2006/relationships/settings" Target="settings.xml"/><Relationship Id="rId19" Type="http://schemas.openxmlformats.org/officeDocument/2006/relationships/image" Target="media/image8.png"/><Relationship Id="rId18" Type="http://schemas.openxmlformats.org/officeDocument/2006/relationships/image" Target="media/image7.png"/><Relationship Id="rId17" Type="http://schemas.openxmlformats.org/officeDocument/2006/relationships/image" Target="media/image6.png"/><Relationship Id="rId16" Type="http://schemas.openxmlformats.org/officeDocument/2006/relationships/image" Target="media/image5.png"/><Relationship Id="rId15" Type="http://schemas.openxmlformats.org/officeDocument/2006/relationships/image" Target="media/image4.png"/><Relationship Id="rId14" Type="http://schemas.openxmlformats.org/officeDocument/2006/relationships/image" Target="media/image3.png"/><Relationship Id="rId13" Type="http://schemas.openxmlformats.org/officeDocument/2006/relationships/image" Target="media/image2.pn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2049"/>
    <customShpInfo spid="_x0000_s2050"/>
    <customShpInfo spid="_x0000_s2051"/>
    <customShpInfo spid="_x0000_s2052"/>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7AF52D8-22AA-40D4-8C0A-1783057E2545}">
  <ds:schemaRefs/>
</ds:datastoreItem>
</file>

<file path=docProps/app.xml><?xml version="1.0" encoding="utf-8"?>
<Properties xmlns="http://schemas.openxmlformats.org/officeDocument/2006/extended-properties" xmlns:vt="http://schemas.openxmlformats.org/officeDocument/2006/docPropsVTypes">
  <Template>Normal</Template>
  <Company>www.zhulong.com.cn</Company>
  <Pages>34</Pages>
  <Words>1002</Words>
  <Characters>5713</Characters>
  <Lines>47</Lines>
  <Paragraphs>13</Paragraphs>
  <TotalTime>1391</TotalTime>
  <ScaleCrop>false</ScaleCrop>
  <LinksUpToDate>false</LinksUpToDate>
  <CharactersWithSpaces>6702</CharactersWithSpaces>
  <Application>WPS Office_11.1.0.9175_F1E327BC-269C-435d-A152-05C5408002CA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2016-12-29T08:07:00Z</dcterms:created>
  <dc:creator>北京筑龙信息技术有限责任公司</dc:creator>
  <cp:lastModifiedBy>何璇</cp:lastModifiedBy>
  <cp:lastPrinted>2016-02-29T06:23:00Z</cp:lastPrinted>
  <dcterms:modified xsi:type="dcterms:W3CDTF">2019-11-04T08:07:31Z</dcterms:modified>
  <dc:subject>用户使用指南</dc:subject>
  <dc:title>深圳市建设工程材料设备询价采购网络服务平台（筑龙平台）http://xj.jiaoyi365.com</dc:title>
  <cp:revision>1389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2052-11.1.0.9175</vt:lpwstr>
  </property>
</Properties>
</file>